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C656F8" w:rsidP="00C656F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656F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Ecotoxicology and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Pr="00C656F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nvironmental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C656F8">
              <w:rPr>
                <w:rFonts w:ascii="Arial" w:hAnsi="Arial" w:cs="Arial"/>
                <w:b/>
                <w:sz w:val="18"/>
                <w:szCs w:val="18"/>
                <w:lang w:val="en-GB"/>
              </w:rPr>
              <w:t>afety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C656F8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C656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B10F9B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C656F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3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685DA5" w:rsidRDefault="00C656F8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6F8">
              <w:rPr>
                <w:rFonts w:ascii="Arial" w:hAnsi="Arial" w:cs="Arial"/>
                <w:b/>
                <w:sz w:val="18"/>
                <w:szCs w:val="18"/>
              </w:rPr>
              <w:t>Ekotoksykologia i bezpieczeństwo środowiskowe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381BE1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 of Environmental and Mechanical Engineering, Department of Ecology and Environmental Protection</w:t>
            </w:r>
            <w:r w:rsidR="00290605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C656F8" w:rsidP="00C656F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Maria Drapikowska,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Prof.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UPP</w:t>
            </w:r>
            <w:r w:rsidR="00B10F9B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hyperlink r:id="rId5" w:history="1">
              <w:r w:rsidRPr="00067E0F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maria.drapikowska@up.poznan.pl</w:t>
              </w:r>
            </w:hyperlink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85DA5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685DA5" w:rsidRDefault="00C656F8" w:rsidP="00C656F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Marcin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Spychała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, PhD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5419F7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C656F8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C656F8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C656F8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C68BC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C656F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C656F8" w:rsidP="0094772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381BE1" w:rsidRDefault="00381BE1" w:rsidP="00C656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Basics of environmental sciences</w:t>
            </w:r>
            <w:r w:rsidR="00B10F9B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biology</w:t>
            </w: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381BE1" w:rsidRDefault="00C656F8" w:rsidP="00C656F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This subject will provide general understanding of toxicology related to environment. The course includes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knowledge about basic toxic compounds for living organisms; absorption of toxicants, distribution and storage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toxicants and methods of detection of environmental contamination. The environmental impact of toxic substances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will be characterized. In particular the sources of toxic subs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tances in wastewater and their i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mpact on treatment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processes will be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analysed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. The influence of toxic substances in treated wastewater on water environment will be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discussed and verified practically (the opportunity for it will be the visiting of wastewater treatment plant).</w:t>
            </w:r>
          </w:p>
        </w:tc>
      </w:tr>
      <w:tr w:rsidR="00BE339E" w:rsidRPr="00381BE1" w:rsidTr="00000DFF">
        <w:trPr>
          <w:trHeight w:val="78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15420" w:rsidRPr="00515420" w:rsidRDefault="00515420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5420">
              <w:rPr>
                <w:rFonts w:ascii="Arial" w:hAnsi="Arial" w:cs="Arial"/>
                <w:sz w:val="20"/>
                <w:szCs w:val="20"/>
                <w:lang w:val="en-GB"/>
              </w:rPr>
              <w:t>Lectures based on multimedia presentation with elements of discussion.</w:t>
            </w:r>
          </w:p>
          <w:p w:rsidR="00A05A8A" w:rsidRPr="00381BE1" w:rsidRDefault="00BF54EC" w:rsidP="009477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Possibility</w:t>
            </w:r>
            <w:r w:rsidR="00A05A8A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:rsidTr="00C656F8">
        <w:trPr>
          <w:cantSplit/>
          <w:trHeight w:hRule="exact" w:val="164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C656F8" w:rsidRPr="00C656F8" w:rsidRDefault="00176C5A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O1: </w:t>
            </w:r>
            <w:r w:rsidR="00C656F8" w:rsidRPr="00C656F8">
              <w:rPr>
                <w:rFonts w:ascii="Arial" w:hAnsi="Arial" w:cs="Arial"/>
                <w:sz w:val="20"/>
                <w:szCs w:val="20"/>
                <w:lang w:val="en-GB"/>
              </w:rPr>
              <w:t>Students will have advanced knowledge about occurrence and significance of major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656F8" w:rsidRPr="00C656F8">
              <w:rPr>
                <w:rFonts w:ascii="Arial" w:hAnsi="Arial" w:cs="Arial"/>
                <w:sz w:val="20"/>
                <w:szCs w:val="20"/>
                <w:lang w:val="en-GB"/>
              </w:rPr>
              <w:t>environmental toxicants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656F8" w:rsidRPr="00C656F8" w:rsidRDefault="00C656F8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O2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will know fundamental information of processes in living organisms associated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with exposure to toxic agents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C656F8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O3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Students will be able to gather information on environmental threats in the selected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area, to identify hazards and propose corrective actions including innovative environmental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technologies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3615DC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C656F8" w:rsidRPr="00C656F8" w:rsidRDefault="00176C5A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C656F8" w:rsidRPr="00C656F8">
              <w:rPr>
                <w:rFonts w:ascii="Arial" w:hAnsi="Arial" w:cs="Arial"/>
                <w:sz w:val="20"/>
                <w:szCs w:val="20"/>
                <w:lang w:val="en-GB"/>
              </w:rPr>
              <w:t>Students will have skills to carry out simple scientific tasks under university teacher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656F8" w:rsidRPr="00C656F8">
              <w:rPr>
                <w:rFonts w:ascii="Arial" w:hAnsi="Arial" w:cs="Arial"/>
                <w:sz w:val="20"/>
                <w:szCs w:val="20"/>
                <w:lang w:val="en-GB"/>
              </w:rPr>
              <w:t>supervision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656F8" w:rsidRPr="00C656F8" w:rsidRDefault="00C656F8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O5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will be able to carry out simple toxicological tests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176C5A" w:rsidRPr="00381BE1" w:rsidRDefault="00C656F8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O6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 able to find and use relevant information from literature and databases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3615DC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C656F8" w:rsidRPr="00C656F8" w:rsidRDefault="004C4D91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C656F8" w:rsidRPr="00C656F8">
              <w:rPr>
                <w:rFonts w:ascii="Arial" w:hAnsi="Arial" w:cs="Arial"/>
                <w:sz w:val="20"/>
                <w:szCs w:val="20"/>
                <w:lang w:val="en-GB"/>
              </w:rPr>
              <w:t>Students will understand the need for continuous learning, will be able to inspire and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656F8" w:rsidRPr="00C656F8">
              <w:rPr>
                <w:rFonts w:ascii="Arial" w:hAnsi="Arial" w:cs="Arial"/>
                <w:sz w:val="20"/>
                <w:szCs w:val="20"/>
                <w:lang w:val="en-GB"/>
              </w:rPr>
              <w:t>organize learning processes of other pe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>ople.</w:t>
            </w:r>
          </w:p>
          <w:p w:rsidR="00C656F8" w:rsidRPr="00C656F8" w:rsidRDefault="00C656F8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O8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will be able to cooperate and work in a team, both as a leader and a member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a team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C656F8" w:rsidP="00C656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O9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will be able to establish proper priorities connected with solving tasks being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defined by a student or others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:rsidR="00515420" w:rsidRDefault="00515420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Writing exam includes the content of the lectures.</w:t>
            </w:r>
          </w:p>
          <w:p w:rsidR="00BE339E" w:rsidRPr="00381BE1" w:rsidRDefault="00C656F8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Written report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4E2F29" w:rsidRPr="00381BE1" w:rsidRDefault="00515420" w:rsidP="00C656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– O9</w:t>
            </w:r>
          </w:p>
          <w:p w:rsidR="004E2F29" w:rsidRPr="00381BE1" w:rsidRDefault="004E2F29" w:rsidP="00BE3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:rsidR="00AE65E6" w:rsidRDefault="00381BE1" w:rsidP="00141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656F8" w:rsidRPr="00C656F8" w:rsidRDefault="00C656F8" w:rsidP="00C65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Introduction to ecotoxicology; aims and tools, groups of environmental contaminants.</w:t>
            </w:r>
          </w:p>
          <w:p w:rsidR="00C656F8" w:rsidRPr="00C656F8" w:rsidRDefault="00C656F8" w:rsidP="00CC0A2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Pollutant sources. Gaseous air pollutants: ozone, sulphur dioxide, carbon dioxide, nitrogen oxide – deposition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impact on vegetation.</w:t>
            </w:r>
          </w:p>
          <w:p w:rsidR="00C656F8" w:rsidRPr="00C656F8" w:rsidRDefault="00C656F8" w:rsidP="00C65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Bioaccumulation, effects in organisms, populations, ecosystems.</w:t>
            </w:r>
          </w:p>
          <w:p w:rsidR="00C656F8" w:rsidRPr="00C656F8" w:rsidRDefault="00C656F8" w:rsidP="00C65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Sources of toxic substances in wastewater.</w:t>
            </w:r>
          </w:p>
          <w:p w:rsidR="00C656F8" w:rsidRPr="00C656F8" w:rsidRDefault="00C656F8" w:rsidP="00C65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Impact of toxic substances in wastewater on treatment processes.</w:t>
            </w:r>
          </w:p>
          <w:p w:rsidR="000E4901" w:rsidRDefault="00C656F8" w:rsidP="00C656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6F8">
              <w:rPr>
                <w:rFonts w:ascii="Arial" w:hAnsi="Arial" w:cs="Arial"/>
                <w:sz w:val="20"/>
                <w:szCs w:val="20"/>
                <w:lang w:val="en-GB"/>
              </w:rPr>
              <w:t>Influence of toxic substances in treated wastewater on water environment.</w:t>
            </w:r>
          </w:p>
          <w:p w:rsidR="00C656F8" w:rsidRDefault="002D2480" w:rsidP="002D248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mprovement of environmental safety</w:t>
            </w:r>
          </w:p>
          <w:p w:rsidR="00C656F8" w:rsidRPr="00381BE1" w:rsidRDefault="00C656F8" w:rsidP="00C656F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381BE1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98731D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>Written individual report</w:t>
            </w:r>
            <w:r w:rsidR="003615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BE339E" w:rsidRPr="00381BE1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>Final written exam</w:t>
            </w:r>
            <w:r w:rsidR="003615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4E2F29" w:rsidRPr="00381BE1" w:rsidRDefault="003615DC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  <w:p w:rsidR="004E2F29" w:rsidRPr="00381BE1" w:rsidRDefault="002D2480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4645BF" w:rsidRPr="00381BE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D7944" w:rsidRPr="00381BE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Newman M.C., Clemens W.H., 2008. Ecotoxicology. A comprehensive treatment. CRB Press.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Lorris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G.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Cockerham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, Barbara S. Shane, L.G.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Cockerham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, L. G.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Cockerham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. 1993. Basic Environmental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Toxicology.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Venkatesan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A.K.,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Halden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R.U. (2014) Wastewater Treatment Plants as Chemical Observatories to Forecast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Ecological and Human Health Risks of Manmade Chemicals. Scientific Reports, (4), 3731, 1-7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Bennett G.F. (1989) Impact of Toxic Chemicals on Local Wastewater Treatment Plant and the Environment.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Environ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Geol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Water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Sci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Vol. 13, No, 3, 201-212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Brown N. J. (1997). Health hazards manual: Wastewater treatment plant and sewer workers. Ithaca, NY: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Cornell University, Chemical Hazard Information Program.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Toxicity Reduction Evaluation Guidance for Municipal Wastewater Treatment Plants. Office of Wastewater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Management U.S. Environmental Protection Agency, 1999, Washington, D.C. 20460.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Walker C.H.,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Sibly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R.M., Hopkin S.P.,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Peakall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D.B. Principles of Ecotoxicology, Fourth Edition, CRC Press,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2012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Rand G.M. Fundamentals of Aquatic Toxicology Taylor &amp;amp; Francis, Washington, 1995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Vallero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D. A. Environmental Biotechnology,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Biosystems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Approach. Elsevier, AP. Amsterdam, Boston, 2010.</w:t>
            </w:r>
          </w:p>
          <w:p w:rsidR="002D2480" w:rsidRPr="002D2480" w:rsidRDefault="002D2480" w:rsidP="002D2480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Bitton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G. Wastewater Microbiology. Willey. New Jersey, 2011.</w:t>
            </w:r>
          </w:p>
          <w:p w:rsidR="00C237E2" w:rsidRPr="00381BE1" w:rsidRDefault="002D2480" w:rsidP="002D248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Reisner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 xml:space="preserve"> D. E. (ed.) </w:t>
            </w:r>
            <w:proofErr w:type="spellStart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Bionanotechnogy</w:t>
            </w:r>
            <w:proofErr w:type="spellEnd"/>
            <w:r w:rsidRPr="002D2480">
              <w:rPr>
                <w:rFonts w:ascii="Arial" w:hAnsi="Arial" w:cs="Arial"/>
                <w:sz w:val="20"/>
                <w:szCs w:val="20"/>
                <w:lang w:val="en-GB"/>
              </w:rPr>
              <w:t>. Global Prospects. CRC Press. Boca Raton, 2012.</w:t>
            </w:r>
          </w:p>
        </w:tc>
      </w:tr>
    </w:tbl>
    <w:p w:rsidR="00BE339E" w:rsidRPr="00381BE1" w:rsidRDefault="00BE339E">
      <w:pPr>
        <w:rPr>
          <w:lang w:val="en-GB"/>
        </w:rPr>
      </w:pPr>
      <w:bookmarkStart w:id="0" w:name="_GoBack"/>
      <w:bookmarkEnd w:id="0"/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72DBA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76C5A"/>
    <w:rsid w:val="00194ACC"/>
    <w:rsid w:val="001951D6"/>
    <w:rsid w:val="001A32D9"/>
    <w:rsid w:val="001B6D7E"/>
    <w:rsid w:val="0020564D"/>
    <w:rsid w:val="00211D7C"/>
    <w:rsid w:val="00220C16"/>
    <w:rsid w:val="002709BA"/>
    <w:rsid w:val="002732AF"/>
    <w:rsid w:val="00290605"/>
    <w:rsid w:val="002A7497"/>
    <w:rsid w:val="002D2480"/>
    <w:rsid w:val="002F2B1D"/>
    <w:rsid w:val="003113DD"/>
    <w:rsid w:val="00313E1E"/>
    <w:rsid w:val="00327774"/>
    <w:rsid w:val="00346305"/>
    <w:rsid w:val="003615DC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C4D91"/>
    <w:rsid w:val="004E2F29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8711D"/>
    <w:rsid w:val="006B5C3A"/>
    <w:rsid w:val="006D19CA"/>
    <w:rsid w:val="006D7628"/>
    <w:rsid w:val="007572D3"/>
    <w:rsid w:val="00757D4D"/>
    <w:rsid w:val="0076260A"/>
    <w:rsid w:val="00771029"/>
    <w:rsid w:val="00792BF1"/>
    <w:rsid w:val="007D244F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05A8A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649F9"/>
    <w:rsid w:val="00B67AFA"/>
    <w:rsid w:val="00B75A6E"/>
    <w:rsid w:val="00B914CA"/>
    <w:rsid w:val="00BB2F7D"/>
    <w:rsid w:val="00BE339E"/>
    <w:rsid w:val="00BF54EC"/>
    <w:rsid w:val="00C237E2"/>
    <w:rsid w:val="00C57DC1"/>
    <w:rsid w:val="00C656F8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565C8"/>
    <w:rsid w:val="00E70BCB"/>
    <w:rsid w:val="00E7678E"/>
    <w:rsid w:val="00E77E31"/>
    <w:rsid w:val="00EA05ED"/>
    <w:rsid w:val="00EB70A2"/>
    <w:rsid w:val="00ED2E48"/>
    <w:rsid w:val="00EE61FD"/>
    <w:rsid w:val="00EF51F4"/>
    <w:rsid w:val="00EF6EA0"/>
    <w:rsid w:val="00F0712E"/>
    <w:rsid w:val="00F1697F"/>
    <w:rsid w:val="00F50E16"/>
    <w:rsid w:val="00F83D3D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736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drapikowsk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3</cp:revision>
  <cp:lastPrinted>2018-03-06T11:13:00Z</cp:lastPrinted>
  <dcterms:created xsi:type="dcterms:W3CDTF">2022-02-23T09:58:00Z</dcterms:created>
  <dcterms:modified xsi:type="dcterms:W3CDTF">2022-02-23T10:08:00Z</dcterms:modified>
</cp:coreProperties>
</file>