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4C03" w:rsidRPr="00EF66C7" w:rsidRDefault="00514C03" w:rsidP="002D6E18">
      <w:pPr>
        <w:contextualSpacing/>
        <w:jc w:val="center"/>
        <w:rPr>
          <w:rFonts w:ascii="Arial" w:hAnsi="Arial" w:cs="Arial"/>
        </w:rPr>
      </w:pPr>
      <w:r w:rsidRPr="00EF66C7">
        <w:rPr>
          <w:rFonts w:ascii="Arial" w:hAnsi="Arial" w:cs="Arial"/>
          <w:b/>
        </w:rPr>
        <w:t>SYL</w:t>
      </w:r>
      <w:r w:rsidR="004B3B10">
        <w:rPr>
          <w:rFonts w:ascii="Arial" w:hAnsi="Arial" w:cs="Arial"/>
          <w:b/>
        </w:rPr>
        <w:t>L</w:t>
      </w:r>
      <w:r w:rsidRPr="00EF66C7">
        <w:rPr>
          <w:rFonts w:ascii="Arial" w:hAnsi="Arial" w:cs="Arial"/>
          <w:b/>
        </w:rPr>
        <w:t>ABUS</w:t>
      </w:r>
    </w:p>
    <w:p w:rsidR="00A43C20" w:rsidRPr="002D6E18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:rsidR="00E36AE3" w:rsidRPr="00EF66C7" w:rsidTr="00210531">
        <w:trPr>
          <w:trHeight w:val="508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:rsidR="00E36AE3" w:rsidRPr="00A760E1" w:rsidRDefault="00212018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42A3C">
              <w:rPr>
                <w:rFonts w:ascii="Arial" w:hAnsi="Arial" w:cs="Arial"/>
                <w:b/>
                <w:sz w:val="16"/>
                <w:szCs w:val="16"/>
                <w:lang w:val="en-GB"/>
              </w:rPr>
              <w:t>Economics of environmental protection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Default="004B3B10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E36AE3" w:rsidRPr="00EF66C7">
              <w:rPr>
                <w:rFonts w:ascii="Arial" w:hAnsi="Arial" w:cs="Arial"/>
                <w:sz w:val="16"/>
                <w:szCs w:val="16"/>
              </w:rPr>
              <w:t>ECTS</w:t>
            </w:r>
          </w:p>
          <w:p w:rsidR="00E36AE3" w:rsidRDefault="00592193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5728AE">
              <w:rPr>
                <w:rFonts w:ascii="Arial" w:hAnsi="Arial" w:cs="Arial"/>
                <w:sz w:val="16"/>
                <w:szCs w:val="16"/>
              </w:rPr>
              <w:t>redits</w:t>
            </w:r>
            <w:proofErr w:type="spellEnd"/>
          </w:p>
          <w:p w:rsidR="00592193" w:rsidRPr="00592193" w:rsidRDefault="00592193" w:rsidP="00375C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19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E36AE3" w:rsidRPr="004654CD" w:rsidTr="00210531">
        <w:trPr>
          <w:trHeight w:val="412"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:rsidR="00E36AE3" w:rsidRPr="00A760E1" w:rsidRDefault="00212018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242A3C">
              <w:rPr>
                <w:rFonts w:ascii="Arial" w:hAnsi="Arial" w:cs="Arial"/>
                <w:b/>
                <w:sz w:val="16"/>
                <w:szCs w:val="16"/>
                <w:lang w:val="en-GB"/>
              </w:rPr>
              <w:t>Ekonomika</w:t>
            </w:r>
            <w:proofErr w:type="spellEnd"/>
            <w:r w:rsidRPr="00242A3C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ochrony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42A3C">
              <w:rPr>
                <w:rFonts w:ascii="Arial" w:hAnsi="Arial" w:cs="Arial"/>
                <w:b/>
                <w:sz w:val="16"/>
                <w:szCs w:val="16"/>
                <w:lang w:val="en-GB"/>
              </w:rPr>
              <w:t>środowiska</w:t>
            </w:r>
            <w:proofErr w:type="spellEnd"/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E36AE3" w:rsidRPr="0081614C" w:rsidRDefault="00E36AE3" w:rsidP="00EF66C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6AE3" w:rsidRPr="004654CD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81614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:rsidR="00E36AE3" w:rsidRPr="00A760E1" w:rsidRDefault="00592193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3320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 of Law and Enterprise Management in Agribusiness</w:t>
            </w:r>
          </w:p>
        </w:tc>
      </w:tr>
      <w:tr w:rsidR="00E36AE3" w:rsidRPr="00EF66C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1164D1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Course 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co</w:t>
            </w:r>
            <w:r w:rsidR="008E24F3" w:rsidRPr="00A760E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ordinator</w:t>
            </w:r>
          </w:p>
          <w:p w:rsidR="00E36AE3" w:rsidRPr="00A760E1" w:rsidRDefault="00592193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D</w:t>
            </w:r>
            <w:r w:rsidRPr="00242A3C">
              <w:rPr>
                <w:rFonts w:ascii="Arial" w:hAnsi="Arial" w:cs="Arial"/>
                <w:b/>
                <w:sz w:val="16"/>
                <w:szCs w:val="16"/>
                <w:lang w:val="en-GB"/>
              </w:rPr>
              <w:t>r hab. Dariusz Pieńkowski</w:t>
            </w:r>
          </w:p>
        </w:tc>
      </w:tr>
      <w:tr w:rsidR="00A26E9B" w:rsidRPr="00EF66C7" w:rsidTr="00210531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26E9B" w:rsidRPr="00A760E1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:rsidR="00A26E9B" w:rsidRPr="004654CD" w:rsidRDefault="00592193" w:rsidP="00EF66C7">
            <w:pPr>
              <w:rPr>
                <w:b/>
                <w:sz w:val="22"/>
                <w:szCs w:val="22"/>
                <w:lang w:val="en-GB"/>
              </w:rPr>
            </w:pPr>
            <w:r w:rsidRPr="00242A3C">
              <w:rPr>
                <w:rFonts w:ascii="Arial" w:hAnsi="Arial" w:cs="Arial"/>
                <w:b/>
                <w:sz w:val="16"/>
                <w:szCs w:val="16"/>
                <w:lang w:val="en-GB"/>
              </w:rPr>
              <w:t>Agri-food economics and trade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9B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:rsidR="004654CD" w:rsidRPr="00A760E1" w:rsidRDefault="004654CD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Master level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E9B" w:rsidRPr="00A760E1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:rsidR="00592193" w:rsidRPr="00592193" w:rsidRDefault="00592193" w:rsidP="00EF66C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9219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IV</w:t>
            </w:r>
          </w:p>
        </w:tc>
      </w:tr>
      <w:tr w:rsidR="00AD57E8" w:rsidRPr="00440C98" w:rsidTr="00210531">
        <w:trPr>
          <w:trHeight w:val="461"/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57E8" w:rsidRPr="00A760E1" w:rsidRDefault="00E009A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57E8" w:rsidRPr="00A760E1" w:rsidRDefault="00E9518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A760E1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AD57E8" w:rsidRPr="00A760E1" w:rsidRDefault="00AD57E8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4654CD" w:rsidTr="004B3B10">
        <w:trPr>
          <w:trHeight w:val="187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AE3" w:rsidRPr="00A760E1" w:rsidRDefault="0081614C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:rsidR="00E36AE3" w:rsidRPr="00A760E1" w:rsidRDefault="0081614C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>lectures and self</w:t>
            </w:r>
            <w:r w:rsidR="00115218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4654CD" w:rsidTr="00B60861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21053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7F94" w:rsidRPr="00A760E1" w:rsidRDefault="00210531" w:rsidP="00210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 xml:space="preserve">Mode of studies: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part</w:t>
            </w: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-time</w:t>
            </w: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1F6973" w:rsidRDefault="00592193" w:rsidP="00592193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1F6973" w:rsidRDefault="00592193" w:rsidP="00592193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1F6973" w:rsidRDefault="00592193" w:rsidP="00592193">
            <w:pPr>
              <w:numPr>
                <w:ilvl w:val="0"/>
                <w:numId w:val="1"/>
              </w:numPr>
              <w:spacing w:before="20" w:after="20"/>
              <w:ind w:firstLine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contact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1F6973" w:rsidRDefault="00592193" w:rsidP="00592193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193" w:rsidRPr="00EF66C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Pr="00EF66C7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592193" w:rsidRPr="00EF66C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:rsidR="00592193" w:rsidRPr="00A760E1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102A">
              <w:rPr>
                <w:rFonts w:ascii="Arial" w:hAnsi="Arial" w:cs="Arial"/>
                <w:sz w:val="20"/>
                <w:szCs w:val="20"/>
                <w:lang w:val="en-GB"/>
              </w:rPr>
              <w:t>Familiarize students with the concept of environmental management, the conception of sustainable development as well as means and instruments of environmental policy.</w:t>
            </w:r>
            <w:r w:rsidRPr="00A4102A">
              <w:rPr>
                <w:lang w:val="en-GB"/>
              </w:rPr>
              <w:t xml:space="preserve"> </w:t>
            </w:r>
            <w:r w:rsidRPr="00A4102A">
              <w:rPr>
                <w:rFonts w:ascii="Arial" w:hAnsi="Arial" w:cs="Arial"/>
                <w:sz w:val="20"/>
                <w:szCs w:val="20"/>
                <w:lang w:val="en-GB"/>
              </w:rPr>
              <w:t>Recognize methods and problems of environmental evaluation.</w:t>
            </w:r>
          </w:p>
        </w:tc>
      </w:tr>
      <w:tr w:rsidR="00592193" w:rsidRPr="00EF66C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lecturing, demonstration, discussion, evaluation</w:t>
            </w:r>
          </w:p>
        </w:tc>
      </w:tr>
      <w:tr w:rsidR="00592193" w:rsidRPr="004654CD" w:rsidTr="00210531">
        <w:trPr>
          <w:trHeight w:val="187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193" w:rsidRPr="000C4767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476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212018" w:rsidRPr="00EF66C7" w:rsidTr="00592193">
        <w:trPr>
          <w:cantSplit/>
          <w:trHeight w:hRule="exact" w:val="1889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212018" w:rsidRPr="00A760E1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:rsidR="00212018" w:rsidRPr="001F6973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1F6973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tudent knows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to a deeper extent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theories of economics and the place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>economics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environmental protection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and its relations in the system of sciences, including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determinants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>economics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environmental protection</w:t>
            </w:r>
          </w:p>
          <w:p w:rsidR="00212018" w:rsidRPr="001F6973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1F697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tudent knows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to a deeper extent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relationships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occurring in the national economy, including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>econom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ic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 xml:space="preserve"> mechanisms and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tools and instruments of the policy of environmental protection</w:t>
            </w:r>
          </w:p>
          <w:p w:rsidR="00212018" w:rsidRPr="001F6973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1F6973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tudent</w:t>
            </w:r>
            <w:r w:rsidRPr="006D3A6E">
              <w:rPr>
                <w:lang w:val="en-GB"/>
              </w:rPr>
              <w:t xml:space="preserve">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knows to a deeper extent the role of domestic and international economic institutions related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policy of environmental protection</w:t>
            </w:r>
          </w:p>
          <w:p w:rsidR="00212018" w:rsidRPr="001F6973" w:rsidRDefault="00212018" w:rsidP="00212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ET2A_W01</w:t>
            </w: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2018" w:rsidRDefault="00212018" w:rsidP="00212018">
            <w:pPr>
              <w:rPr>
                <w:rFonts w:ascii="Arial" w:hAnsi="Arial" w:cs="Arial"/>
                <w:sz w:val="20"/>
                <w:szCs w:val="20"/>
              </w:rPr>
            </w:pP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ET2A_W02</w:t>
            </w: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2018" w:rsidRPr="00EF66C7" w:rsidRDefault="00212018" w:rsidP="002120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3E04">
              <w:rPr>
                <w:rFonts w:ascii="Arial" w:hAnsi="Arial" w:cs="Arial"/>
                <w:sz w:val="20"/>
                <w:szCs w:val="20"/>
              </w:rPr>
              <w:t>ET2A_W03</w:t>
            </w:r>
          </w:p>
        </w:tc>
      </w:tr>
      <w:tr w:rsidR="00212018" w:rsidRPr="00EF66C7" w:rsidTr="00592193">
        <w:trPr>
          <w:cantSplit/>
          <w:trHeight w:hRule="exact" w:val="2100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212018" w:rsidRPr="00A760E1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:rsidR="00212018" w:rsidRPr="001F6973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1F697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tudent can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interpret data and indicators characterizing the contemporary economy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on their basis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can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assess the socio-economic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 ecological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situation</w:t>
            </w:r>
          </w:p>
          <w:p w:rsidR="00212018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1F697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tudent</w:t>
            </w:r>
            <w:r w:rsidRPr="006D3A6E">
              <w:rPr>
                <w:lang w:val="en-GB"/>
              </w:rPr>
              <w:t xml:space="preserve">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can select and use methods and tools to analy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e economic problems on the micro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and macroeconomic scale as well as to diagnose and forecast economic phenomena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related to the environmental problems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212018" w:rsidRPr="001F6973" w:rsidRDefault="00212018" w:rsidP="00212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tudent can 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communicate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 xml:space="preserve"> discuss and disseminate economic knowledge, with particular emphasis on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socio-</w:t>
            </w:r>
            <w:r w:rsidRPr="006D3A6E">
              <w:rPr>
                <w:rFonts w:ascii="Arial" w:hAnsi="Arial" w:cs="Arial"/>
                <w:sz w:val="20"/>
                <w:szCs w:val="20"/>
                <w:lang w:val="en-GB"/>
              </w:rPr>
              <w:t>economic relation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ships with the environment</w:t>
            </w:r>
          </w:p>
          <w:p w:rsidR="00212018" w:rsidRPr="001F6973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tudent can 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use economic terminology at a higher level, with particular emphasis 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>economics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environmental protection</w:t>
            </w: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ET2A_U01</w:t>
            </w:r>
          </w:p>
          <w:p w:rsidR="00212018" w:rsidRPr="00C53E04" w:rsidRDefault="00212018" w:rsidP="00212018">
            <w:pPr>
              <w:rPr>
                <w:rFonts w:ascii="Arial" w:hAnsi="Arial" w:cs="Arial"/>
                <w:sz w:val="20"/>
                <w:szCs w:val="20"/>
              </w:rPr>
            </w:pP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ET2A_U02</w:t>
            </w: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2018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ET2A_U06</w:t>
            </w:r>
          </w:p>
          <w:p w:rsidR="00212018" w:rsidRDefault="00212018" w:rsidP="00212018">
            <w:pPr>
              <w:rPr>
                <w:rFonts w:ascii="Arial" w:hAnsi="Arial" w:cs="Arial"/>
                <w:sz w:val="20"/>
                <w:szCs w:val="20"/>
              </w:rPr>
            </w:pP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ET2A_U07</w:t>
            </w:r>
          </w:p>
          <w:p w:rsidR="00212018" w:rsidRPr="00EF66C7" w:rsidRDefault="00212018" w:rsidP="00212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018" w:rsidRPr="00EF66C7" w:rsidTr="00592193">
        <w:trPr>
          <w:cantSplit/>
          <w:trHeight w:hRule="exact" w:val="1010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12018" w:rsidRPr="00A760E1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:rsidR="00212018" w:rsidRPr="00A760E1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212018" w:rsidRPr="001F6973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tudent can 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responsibly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fulfil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her/his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professional role, being aware of the ethos of work and ethical behavio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  <w:p w:rsidR="00212018" w:rsidRPr="001F6973" w:rsidRDefault="00212018" w:rsidP="0021201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tudent can c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ritical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ly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evaluat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 xml:space="preserve">received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  <w:r w:rsidRPr="00F9301F">
              <w:rPr>
                <w:rFonts w:ascii="Arial" w:hAnsi="Arial" w:cs="Arial"/>
                <w:sz w:val="20"/>
                <w:szCs w:val="20"/>
                <w:lang w:val="en-GB"/>
              </w:rPr>
              <w:t>, formulating your own statements and assessments, and solve a specific problem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E04">
              <w:rPr>
                <w:rFonts w:ascii="Arial" w:hAnsi="Arial" w:cs="Arial"/>
                <w:sz w:val="20"/>
                <w:szCs w:val="20"/>
              </w:rPr>
              <w:t>ET2A_K03</w:t>
            </w:r>
          </w:p>
          <w:p w:rsidR="00212018" w:rsidRPr="00C53E04" w:rsidRDefault="00212018" w:rsidP="00212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2018" w:rsidRPr="00EF66C7" w:rsidRDefault="00212018" w:rsidP="002120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53E04">
              <w:rPr>
                <w:rFonts w:ascii="Arial" w:hAnsi="Arial" w:cs="Arial"/>
                <w:sz w:val="20"/>
                <w:szCs w:val="20"/>
              </w:rPr>
              <w:t>ET2A_K05</w:t>
            </w:r>
          </w:p>
        </w:tc>
      </w:tr>
      <w:tr w:rsidR="00592193" w:rsidRPr="004654CD" w:rsidTr="00210531">
        <w:trPr>
          <w:cantSplit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of evaluation of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outcomes </w:t>
            </w:r>
          </w:p>
          <w:p w:rsidR="00592193" w:rsidRDefault="00592193" w:rsidP="00592193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92193" w:rsidRDefault="00592193" w:rsidP="00592193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Exam (online test &amp; online quizzes)</w:t>
            </w:r>
          </w:p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Case studies (classes)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2193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64D1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:rsidR="00592193" w:rsidRDefault="00592193" w:rsidP="00592193">
            <w:pPr>
              <w:spacing w:before="120" w:after="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E82923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-O9</w:t>
            </w:r>
          </w:p>
          <w:p w:rsidR="00592193" w:rsidRPr="001164D1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O2, O4, O6, O9</w:t>
            </w:r>
          </w:p>
        </w:tc>
      </w:tr>
      <w:tr w:rsidR="00592193" w:rsidRPr="00EF66C7" w:rsidTr="004B3B10">
        <w:trPr>
          <w:cantSplit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:rsidR="00592193" w:rsidRPr="00A760E1" w:rsidRDefault="00212018" w:rsidP="003B3DA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Basic definitions and concepts of the </w:t>
            </w:r>
            <w:r w:rsidRPr="00571E34">
              <w:rPr>
                <w:rFonts w:ascii="Arial" w:hAnsi="Arial" w:cs="Arial"/>
                <w:sz w:val="20"/>
                <w:szCs w:val="20"/>
                <w:lang w:val="en-GB"/>
              </w:rPr>
              <w:t>economics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environmental protection, the policy of environmental protection and its tools and instruments, evaluation methods of ecosystem services, sustainable development and climate resilient economies, environmental management</w:t>
            </w:r>
          </w:p>
        </w:tc>
      </w:tr>
      <w:tr w:rsidR="00592193" w:rsidRPr="004654CD" w:rsidTr="00210531">
        <w:trPr>
          <w:cantSplit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course completion methods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:rsidR="00592193" w:rsidRDefault="00592193" w:rsidP="00592193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Exam</w:t>
            </w:r>
          </w:p>
          <w:p w:rsidR="00592193" w:rsidRPr="00A760E1" w:rsidRDefault="00592193" w:rsidP="005921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Classes</w:t>
            </w:r>
            <w:r w:rsidR="00212018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skills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193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 xml:space="preserve"> of a final grade</w:t>
            </w:r>
          </w:p>
          <w:p w:rsidR="00592193" w:rsidRPr="00386863" w:rsidRDefault="00592193" w:rsidP="0059219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9EB"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  <w:r w:rsidRPr="007C09EB">
              <w:rPr>
                <w:rFonts w:ascii="Arial" w:hAnsi="Arial" w:cs="Arial"/>
                <w:sz w:val="20"/>
                <w:szCs w:val="20"/>
                <w:lang w:val="en-GB"/>
              </w:rPr>
              <w:br/>
              <w:t>100%</w:t>
            </w:r>
          </w:p>
        </w:tc>
      </w:tr>
      <w:tr w:rsidR="00592193" w:rsidRPr="00EF66C7" w:rsidTr="004B3B10">
        <w:trPr>
          <w:cantSplit/>
          <w:trHeight w:val="511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193" w:rsidRPr="00A760E1" w:rsidRDefault="00592193" w:rsidP="005921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</w:p>
          <w:p w:rsidR="00212018" w:rsidRPr="008020A2" w:rsidRDefault="00212018" w:rsidP="00212018">
            <w:pPr>
              <w:numPr>
                <w:ilvl w:val="0"/>
                <w:numId w:val="13"/>
              </w:numPr>
              <w:spacing w:before="20" w:after="20"/>
              <w:ind w:left="460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Poskrobko</w:t>
            </w:r>
            <w:proofErr w:type="spellEnd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 xml:space="preserve">, B. &amp; </w:t>
            </w:r>
            <w:proofErr w:type="spellStart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Poskrobko</w:t>
            </w:r>
            <w:proofErr w:type="spellEnd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 xml:space="preserve">, T., 2012. Environmental Management in Poland. </w:t>
            </w:r>
            <w:proofErr w:type="spellStart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Białystok</w:t>
            </w:r>
            <w:proofErr w:type="spellEnd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Białystok</w:t>
            </w:r>
            <w:proofErr w:type="spellEnd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 xml:space="preserve"> University Press.</w:t>
            </w:r>
          </w:p>
          <w:p w:rsidR="00212018" w:rsidRPr="008020A2" w:rsidRDefault="00212018" w:rsidP="00212018">
            <w:pPr>
              <w:numPr>
                <w:ilvl w:val="0"/>
                <w:numId w:val="13"/>
              </w:numPr>
              <w:spacing w:before="20" w:after="20"/>
              <w:ind w:left="460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 xml:space="preserve">Sterner, T. &amp; Coria, J., 2016. The Economics of Environmental Policy </w:t>
            </w:r>
            <w:proofErr w:type="spellStart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 xml:space="preserve"> and Political Dimensions. </w:t>
            </w:r>
            <w:r w:rsidRPr="008020A2">
              <w:rPr>
                <w:rFonts w:ascii="Arial" w:hAnsi="Arial" w:cs="Arial" w:hint="eastAsia"/>
                <w:sz w:val="20"/>
                <w:szCs w:val="20"/>
                <w:lang w:val="en-GB"/>
              </w:rPr>
              <w:t>Cheltenham</w:t>
            </w:r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020A2">
              <w:rPr>
                <w:rFonts w:ascii="Arial" w:hAnsi="Arial" w:cs="Arial" w:hint="eastAsia"/>
                <w:sz w:val="20"/>
                <w:szCs w:val="20"/>
                <w:lang w:val="en-GB"/>
              </w:rPr>
              <w:t>Northampton: Edward Elgar</w:t>
            </w:r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212018" w:rsidRPr="008020A2" w:rsidRDefault="00212018" w:rsidP="00212018">
            <w:pPr>
              <w:numPr>
                <w:ilvl w:val="0"/>
                <w:numId w:val="13"/>
              </w:numPr>
              <w:spacing w:before="20" w:after="20"/>
              <w:ind w:left="460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Winnpeny</w:t>
            </w:r>
            <w:proofErr w:type="spellEnd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, J. T., 1991. Values for the Environmental: Guide to Economic Appraisal. London: HMSO Publications Centre.</w:t>
            </w:r>
          </w:p>
          <w:p w:rsidR="00212018" w:rsidRDefault="00212018" w:rsidP="00212018">
            <w:pPr>
              <w:numPr>
                <w:ilvl w:val="0"/>
                <w:numId w:val="13"/>
              </w:numPr>
              <w:spacing w:before="20" w:after="20"/>
              <w:ind w:left="460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Folmer</w:t>
            </w:r>
            <w:proofErr w:type="spellEnd"/>
            <w:r w:rsidRPr="008020A2">
              <w:rPr>
                <w:rFonts w:ascii="Arial" w:hAnsi="Arial" w:cs="Arial"/>
                <w:sz w:val="20"/>
                <w:szCs w:val="20"/>
                <w:lang w:val="en-GB"/>
              </w:rPr>
              <w:t>, H. &amp; Gabel, H. L. (eds.), 2001. Principles of Environmental and Resource Economics: A Guide for Students and Decision-Makers. Cheltenham-Northampton: Edward Elgar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592193" w:rsidRPr="00212018" w:rsidRDefault="00212018" w:rsidP="00212018">
            <w:pPr>
              <w:numPr>
                <w:ilvl w:val="0"/>
                <w:numId w:val="13"/>
              </w:numPr>
              <w:spacing w:before="20" w:after="20"/>
              <w:ind w:left="460" w:hanging="28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018">
              <w:rPr>
                <w:rFonts w:ascii="Arial" w:hAnsi="Arial" w:cs="Arial"/>
                <w:sz w:val="20"/>
                <w:szCs w:val="20"/>
                <w:lang w:val="en-GB"/>
              </w:rPr>
              <w:t xml:space="preserve">Jeroen, B &amp; van den Bergh, C. J. M. (eds.), 1999. Handbook of Environmental and Resource Economics. </w:t>
            </w:r>
            <w:r w:rsidRPr="00212018">
              <w:rPr>
                <w:rFonts w:ascii="Arial" w:hAnsi="Arial" w:cs="Arial" w:hint="eastAsia"/>
                <w:sz w:val="20"/>
                <w:szCs w:val="20"/>
                <w:lang w:val="en-GB"/>
              </w:rPr>
              <w:t>Cheltenham</w:t>
            </w:r>
            <w:r w:rsidRPr="0021201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212018">
              <w:rPr>
                <w:rFonts w:ascii="Arial" w:hAnsi="Arial" w:cs="Arial" w:hint="eastAsia"/>
                <w:sz w:val="20"/>
                <w:szCs w:val="20"/>
                <w:lang w:val="en-GB"/>
              </w:rPr>
              <w:t>Northampton: Edward Elgar</w:t>
            </w:r>
          </w:p>
        </w:tc>
      </w:tr>
    </w:tbl>
    <w:p w:rsidR="005D7F41" w:rsidRPr="001164D1" w:rsidRDefault="005D7F41" w:rsidP="00455BF6">
      <w:pPr>
        <w:ind w:left="284"/>
        <w:contextualSpacing/>
        <w:rPr>
          <w:rFonts w:ascii="Arial" w:hAnsi="Arial" w:cs="Arial"/>
          <w:sz w:val="22"/>
          <w:szCs w:val="22"/>
        </w:rPr>
      </w:pPr>
    </w:p>
    <w:sectPr w:rsidR="005D7F41" w:rsidRPr="001164D1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7644" w:rsidRDefault="00017644" w:rsidP="00DA3EDE">
      <w:r>
        <w:separator/>
      </w:r>
    </w:p>
  </w:endnote>
  <w:endnote w:type="continuationSeparator" w:id="0">
    <w:p w:rsidR="00017644" w:rsidRDefault="00017644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7644" w:rsidRDefault="00017644" w:rsidP="00DA3EDE">
      <w:r>
        <w:separator/>
      </w:r>
    </w:p>
  </w:footnote>
  <w:footnote w:type="continuationSeparator" w:id="0">
    <w:p w:rsidR="00017644" w:rsidRDefault="00017644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318F"/>
    <w:multiLevelType w:val="hybridMultilevel"/>
    <w:tmpl w:val="F13E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0439861">
    <w:abstractNumId w:val="11"/>
  </w:num>
  <w:num w:numId="2" w16cid:durableId="1896618320">
    <w:abstractNumId w:val="6"/>
  </w:num>
  <w:num w:numId="3" w16cid:durableId="413941585">
    <w:abstractNumId w:val="1"/>
  </w:num>
  <w:num w:numId="4" w16cid:durableId="616108143">
    <w:abstractNumId w:val="3"/>
  </w:num>
  <w:num w:numId="5" w16cid:durableId="24991396">
    <w:abstractNumId w:val="9"/>
  </w:num>
  <w:num w:numId="6" w16cid:durableId="1813255034">
    <w:abstractNumId w:val="5"/>
  </w:num>
  <w:num w:numId="7" w16cid:durableId="376663401">
    <w:abstractNumId w:val="8"/>
  </w:num>
  <w:num w:numId="8" w16cid:durableId="177810934">
    <w:abstractNumId w:val="12"/>
  </w:num>
  <w:num w:numId="9" w16cid:durableId="1042553188">
    <w:abstractNumId w:val="7"/>
  </w:num>
  <w:num w:numId="10" w16cid:durableId="1869949707">
    <w:abstractNumId w:val="10"/>
  </w:num>
  <w:num w:numId="11" w16cid:durableId="529685145">
    <w:abstractNumId w:val="0"/>
  </w:num>
  <w:num w:numId="12" w16cid:durableId="564729723">
    <w:abstractNumId w:val="4"/>
  </w:num>
  <w:num w:numId="13" w16cid:durableId="1452355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3"/>
    <w:rsid w:val="00000552"/>
    <w:rsid w:val="0000127C"/>
    <w:rsid w:val="000012DD"/>
    <w:rsid w:val="00001D53"/>
    <w:rsid w:val="00017644"/>
    <w:rsid w:val="0003666C"/>
    <w:rsid w:val="00044C26"/>
    <w:rsid w:val="000527FB"/>
    <w:rsid w:val="0005348D"/>
    <w:rsid w:val="0006440C"/>
    <w:rsid w:val="00070F67"/>
    <w:rsid w:val="00072224"/>
    <w:rsid w:val="00092920"/>
    <w:rsid w:val="000C4767"/>
    <w:rsid w:val="000E20A8"/>
    <w:rsid w:val="0011499C"/>
    <w:rsid w:val="00115218"/>
    <w:rsid w:val="001164D1"/>
    <w:rsid w:val="0013774E"/>
    <w:rsid w:val="0015656F"/>
    <w:rsid w:val="001568DA"/>
    <w:rsid w:val="00167F94"/>
    <w:rsid w:val="001A07B1"/>
    <w:rsid w:val="001B56F7"/>
    <w:rsid w:val="001F4FC0"/>
    <w:rsid w:val="00210531"/>
    <w:rsid w:val="00212018"/>
    <w:rsid w:val="00232747"/>
    <w:rsid w:val="00251EDD"/>
    <w:rsid w:val="0026175B"/>
    <w:rsid w:val="0026678C"/>
    <w:rsid w:val="002B4D39"/>
    <w:rsid w:val="002D6E18"/>
    <w:rsid w:val="002F335C"/>
    <w:rsid w:val="00306951"/>
    <w:rsid w:val="00322B2F"/>
    <w:rsid w:val="00344CCF"/>
    <w:rsid w:val="0036752B"/>
    <w:rsid w:val="00374948"/>
    <w:rsid w:val="00375C93"/>
    <w:rsid w:val="00384A26"/>
    <w:rsid w:val="003862DD"/>
    <w:rsid w:val="00386863"/>
    <w:rsid w:val="003B3DA4"/>
    <w:rsid w:val="003F6F54"/>
    <w:rsid w:val="0043271A"/>
    <w:rsid w:val="00433E60"/>
    <w:rsid w:val="00440C98"/>
    <w:rsid w:val="004539EE"/>
    <w:rsid w:val="00455BF6"/>
    <w:rsid w:val="004654CD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64914"/>
    <w:rsid w:val="005728AE"/>
    <w:rsid w:val="00592193"/>
    <w:rsid w:val="005A0B23"/>
    <w:rsid w:val="005B0C4D"/>
    <w:rsid w:val="005B66D8"/>
    <w:rsid w:val="005D177F"/>
    <w:rsid w:val="005D7F41"/>
    <w:rsid w:val="005E16E2"/>
    <w:rsid w:val="006027E3"/>
    <w:rsid w:val="00605578"/>
    <w:rsid w:val="006425B6"/>
    <w:rsid w:val="00647C89"/>
    <w:rsid w:val="00663087"/>
    <w:rsid w:val="006704BB"/>
    <w:rsid w:val="00695E5F"/>
    <w:rsid w:val="006978CE"/>
    <w:rsid w:val="006A1906"/>
    <w:rsid w:val="006B4F09"/>
    <w:rsid w:val="006E16CA"/>
    <w:rsid w:val="006F068E"/>
    <w:rsid w:val="00711BE8"/>
    <w:rsid w:val="0071621E"/>
    <w:rsid w:val="00721D7F"/>
    <w:rsid w:val="00731F0F"/>
    <w:rsid w:val="00740E59"/>
    <w:rsid w:val="00743336"/>
    <w:rsid w:val="00771451"/>
    <w:rsid w:val="0077477D"/>
    <w:rsid w:val="007762CA"/>
    <w:rsid w:val="00780B74"/>
    <w:rsid w:val="007817D0"/>
    <w:rsid w:val="0079184F"/>
    <w:rsid w:val="00796322"/>
    <w:rsid w:val="00797880"/>
    <w:rsid w:val="007B6664"/>
    <w:rsid w:val="007C1B7D"/>
    <w:rsid w:val="00805EFA"/>
    <w:rsid w:val="008061F4"/>
    <w:rsid w:val="00807F8C"/>
    <w:rsid w:val="0081614C"/>
    <w:rsid w:val="00844C83"/>
    <w:rsid w:val="00845AA0"/>
    <w:rsid w:val="0085416B"/>
    <w:rsid w:val="00854CDF"/>
    <w:rsid w:val="00855107"/>
    <w:rsid w:val="008604B8"/>
    <w:rsid w:val="008658AD"/>
    <w:rsid w:val="008847B6"/>
    <w:rsid w:val="008A4359"/>
    <w:rsid w:val="008A56AC"/>
    <w:rsid w:val="008D78D9"/>
    <w:rsid w:val="008E24F3"/>
    <w:rsid w:val="00901D5C"/>
    <w:rsid w:val="009027F8"/>
    <w:rsid w:val="00910EA5"/>
    <w:rsid w:val="0095678B"/>
    <w:rsid w:val="009A1BF2"/>
    <w:rsid w:val="009C2111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760E1"/>
    <w:rsid w:val="00A96FD5"/>
    <w:rsid w:val="00AB01B2"/>
    <w:rsid w:val="00AB3B75"/>
    <w:rsid w:val="00AD136A"/>
    <w:rsid w:val="00AD57E8"/>
    <w:rsid w:val="00AE04D0"/>
    <w:rsid w:val="00B01FC0"/>
    <w:rsid w:val="00B2681F"/>
    <w:rsid w:val="00B45854"/>
    <w:rsid w:val="00B60861"/>
    <w:rsid w:val="00B65551"/>
    <w:rsid w:val="00B76598"/>
    <w:rsid w:val="00B83600"/>
    <w:rsid w:val="00BB0A51"/>
    <w:rsid w:val="00BB3048"/>
    <w:rsid w:val="00BC2E98"/>
    <w:rsid w:val="00BD5875"/>
    <w:rsid w:val="00BE15C6"/>
    <w:rsid w:val="00BE361C"/>
    <w:rsid w:val="00C26E3F"/>
    <w:rsid w:val="00C629F8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AE3"/>
    <w:rsid w:val="00E65479"/>
    <w:rsid w:val="00E67A05"/>
    <w:rsid w:val="00E71DE8"/>
    <w:rsid w:val="00E84DD3"/>
    <w:rsid w:val="00E87F79"/>
    <w:rsid w:val="00E9518C"/>
    <w:rsid w:val="00EA6CB9"/>
    <w:rsid w:val="00EB78A0"/>
    <w:rsid w:val="00EB7E1E"/>
    <w:rsid w:val="00EC32D7"/>
    <w:rsid w:val="00EC77C8"/>
    <w:rsid w:val="00EF66C7"/>
    <w:rsid w:val="00F12229"/>
    <w:rsid w:val="00F20DD4"/>
    <w:rsid w:val="00F3679B"/>
    <w:rsid w:val="00F7609F"/>
    <w:rsid w:val="00F77DBB"/>
    <w:rsid w:val="00F91488"/>
    <w:rsid w:val="00F91AA6"/>
    <w:rsid w:val="00F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F475B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C0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A3EDE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DA3ED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DA3EDE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DA3E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0" ma:contentTypeDescription="Utwórz nowy dokument." ma:contentTypeScope="" ma:versionID="1e199609089f7765f63632a9f4645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BA5A0-F735-4F37-AD82-DF114B2724F5}"/>
</file>

<file path=customXml/itemProps2.xml><?xml version="1.0" encoding="utf-8"?>
<ds:datastoreItem xmlns:ds="http://schemas.openxmlformats.org/officeDocument/2006/customXml" ds:itemID="{6FE68E2D-92BC-4E64-8E06-B79BCB10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147DE4-87B0-458F-AA03-F8FB8DA47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57059C-B795-42C2-A253-E4DE837F5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Dariusz Pieńkowski</cp:lastModifiedBy>
  <cp:revision>3</cp:revision>
  <cp:lastPrinted>2017-09-25T10:27:00Z</cp:lastPrinted>
  <dcterms:created xsi:type="dcterms:W3CDTF">2024-10-02T08:15:00Z</dcterms:created>
  <dcterms:modified xsi:type="dcterms:W3CDTF">2024-10-02T08:20:00Z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5022a8a4dff650b6416fb1565ddc2c70adc92250ae13e0a7dbf085f5d67d5aa9</vt:lpwstr>
  </property>
  <property fmtid="{D5CDD505-2E9C-101B-9397-08002B2CF9AE}" pid="3" name="ContentTypeId">
    <vt:lpwstr>0x01010015B2F226791E2146B98A8374C23E66EF</vt:lpwstr>
  </property>
</Properties>
</file>