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24F4">
      <w:pPr>
        <w:contextualSpacing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SYLLABUS</w:t>
      </w:r>
    </w:p>
    <w:p w14:paraId="672A6659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3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14:paraId="470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</w:tcPr>
          <w:p w14:paraId="1A9BF9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(as specified in the approved curriculum)</w:t>
            </w:r>
          </w:p>
          <w:p w14:paraId="0A37501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Economics of agri-food sector</w:t>
            </w:r>
          </w:p>
        </w:tc>
        <w:tc>
          <w:tcPr>
            <w:tcW w:w="1510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17B1A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ECTS</w:t>
            </w:r>
          </w:p>
          <w:p w14:paraId="32ABE3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credits</w:t>
            </w:r>
          </w:p>
          <w:p w14:paraId="14A7E0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67FE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14:paraId="165C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</w:tcBorders>
            <w:shd w:val="clear" w:color="auto" w:fill="auto"/>
          </w:tcPr>
          <w:p w14:paraId="4C2872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in Polish</w:t>
            </w:r>
          </w:p>
          <w:p w14:paraId="5DAB6C7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Ekonomika sektora rolno-żywnościowego</w:t>
            </w:r>
          </w:p>
        </w:tc>
        <w:tc>
          <w:tcPr>
            <w:tcW w:w="1510" w:type="dxa"/>
            <w:vMerge w:val="continue"/>
          </w:tcPr>
          <w:p w14:paraId="02EB37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14:paraId="51C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DCD9A6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Unit providing the course (Department/Institute)</w:t>
            </w:r>
          </w:p>
          <w:p w14:paraId="6A05A80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Department of Economics and Economic Policy in Agribusiness</w:t>
            </w:r>
          </w:p>
        </w:tc>
      </w:tr>
      <w:tr w14:paraId="3A69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DB7F7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Course co-ordinator</w:t>
            </w:r>
          </w:p>
          <w:p w14:paraId="669080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prof. UPP dr hab. </w:t>
            </w:r>
            <w:r>
              <w:rPr>
                <w:rFonts w:ascii="Arial" w:hAnsi="Arial" w:cs="Arial"/>
                <w:sz w:val="22"/>
                <w:szCs w:val="22"/>
              </w:rPr>
              <w:t>Agnieszka Baer-Nawrocka</w:t>
            </w:r>
          </w:p>
          <w:p w14:paraId="5A39BB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Krzysztof Pawłowski</w:t>
            </w:r>
          </w:p>
        </w:tc>
      </w:tr>
      <w:tr w14:paraId="6B3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09F0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3358EE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Economics and Finance Management in Agri-food Sector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FFD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7CDB7FD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CD04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095E98F2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F471C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14:paraId="31F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51381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18AD6ED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Thesis specialisation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37" w:type="dxa"/>
            <w:gridSpan w:val="3"/>
            <w:tcBorders>
              <w:left w:val="nil"/>
              <w:right w:val="single" w:color="auto" w:sz="12" w:space="0"/>
            </w:tcBorders>
            <w:shd w:val="clear" w:color="auto" w:fill="auto"/>
          </w:tcPr>
          <w:p w14:paraId="41C8F39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14:paraId="61E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AD76B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 AND COURSE LOAD</w:t>
            </w:r>
          </w:p>
          <w:p w14:paraId="5DEA35D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(lectures and self-learning of the student)</w:t>
            </w:r>
          </w:p>
        </w:tc>
      </w:tr>
      <w:tr w14:paraId="03F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49D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61EF4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part-time</w:t>
            </w:r>
          </w:p>
        </w:tc>
      </w:tr>
      <w:tr w14:paraId="5810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1D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lectures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3D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425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 lectures 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D0B9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22A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209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B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14B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0061E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0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1D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contact hours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AFD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9E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B94D5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804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67A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self- learning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C6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D1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656B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A6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B7D3AC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B9905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44344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299C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14:paraId="2F4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AB633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1652C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aim of the course is to provide students with a foundational understanding of the food and agriculture sector, its specificity and role in the national economy, and its changes.</w:t>
            </w:r>
          </w:p>
          <w:p w14:paraId="4DDBEF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495E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B2CF1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72CFF9B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Style w:val="18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Interactive lecture; exercises; thematic discussions; case analysis, teamwork, consultations</w:t>
            </w:r>
            <w:r>
              <w:rPr>
                <w:rStyle w:val="19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14:paraId="3461D77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23F2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F5C51CC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D737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14:paraId="3CD9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FB917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0532360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O1 - student knows the role and functions of the agri-food sector in the national economy</w:t>
            </w:r>
          </w:p>
          <w:p w14:paraId="29B65556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O2 - student knows the specificity of production in the agri-food sector</w:t>
            </w:r>
          </w:p>
          <w:p w14:paraId="015E105C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O3 - student knows the main directions of changes in the modern complex of the food economy</w:t>
            </w:r>
          </w:p>
          <w:p w14:paraId="02614873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O4 - student knows basic data linked with the agri-food sector in the EU and the world</w:t>
            </w:r>
          </w:p>
          <w:p w14:paraId="77D63B4E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0FE43D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CF2D8B6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26F423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EM1A_W02</w:t>
            </w:r>
          </w:p>
          <w:p w14:paraId="18E9E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EM1A_W03</w:t>
            </w:r>
          </w:p>
          <w:p w14:paraId="1DBA6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EM1A_W07</w:t>
            </w:r>
          </w:p>
          <w:p w14:paraId="0FB782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E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B35B5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8F629F1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O4 - student is able to use basic research methods used in the agri-food sector</w:t>
            </w:r>
          </w:p>
          <w:p w14:paraId="430E4E35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O5 - student is able to use European and global databases to analyze the situation in the agri-food sector</w:t>
            </w:r>
          </w:p>
          <w:p w14:paraId="29D6B04F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O6 - student is able to calculate the basic measures used in economic analysis of a farm</w:t>
            </w:r>
          </w:p>
          <w:p w14:paraId="0562CB0E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102017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EM1A_U01</w:t>
            </w:r>
          </w:p>
          <w:p w14:paraId="2BBDF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EM1A_U02</w:t>
            </w:r>
          </w:p>
          <w:p w14:paraId="406C9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EM1A_U05</w:t>
            </w:r>
          </w:p>
          <w:p w14:paraId="04577F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6C7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4" w:hRule="exact"/>
          <w:jc w:val="center"/>
        </w:trPr>
        <w:tc>
          <w:tcPr>
            <w:tcW w:w="66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extDirection w:val="btLr"/>
            <w:vAlign w:val="center"/>
          </w:tcPr>
          <w:p w14:paraId="353DC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34B7AE9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color="auto" w:sz="12" w:space="0"/>
            </w:tcBorders>
            <w:shd w:val="clear" w:color="auto" w:fill="auto"/>
          </w:tcPr>
          <w:p w14:paraId="4E84F82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0BE45057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Style w:val="18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Style w:val="18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O7 – student is ready to organize and initiate activities in the field of agri-food sector</w:t>
            </w:r>
          </w:p>
          <w:p w14:paraId="5E308EB3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O8 – student is ready to continuously develop the acquired knowledge in order to improve professional competences </w:t>
            </w:r>
          </w:p>
          <w:p w14:paraId="4E2B8392">
            <w:pPr>
              <w:pStyle w:val="20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O9– recognize the importance of knowledge in solving cognitive and practical problems and seek expert opinions, including formulating statements and assessments and collaborating in a team to address a particular problem </w:t>
            </w:r>
          </w:p>
          <w:p w14:paraId="4DC3BEB2">
            <w:pPr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1D9E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22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EM1A_K01</w:t>
            </w:r>
          </w:p>
          <w:p w14:paraId="61187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EM1A_K04</w:t>
            </w:r>
          </w:p>
          <w:p w14:paraId="55B9B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EM1A_K05</w:t>
            </w:r>
          </w:p>
          <w:p w14:paraId="62EBF3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14:paraId="4E10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C2FF658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bookmarkStart w:id="1" w:name="_Hlk168445604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Methods of evaluation of learning outcomes </w:t>
            </w:r>
            <w:r>
              <w:br w:type="textWrapping"/>
            </w: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Practical assignments and case studies (individual or team work) </w:t>
            </w:r>
            <w:r>
              <w:rPr>
                <w:rStyle w:val="19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770A43FD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Active participation and discussions in classes</w:t>
            </w:r>
            <w:r>
              <w:rPr>
                <w:rStyle w:val="19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FDF3FB0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Written exam / written test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  <w:bookmarkEnd w:id="1"/>
          <w:p w14:paraId="6D98A1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AF1DE1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4363ED2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O7, O8,O9</w:t>
            </w:r>
          </w:p>
          <w:p w14:paraId="2D402A6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O4, O5,O6</w:t>
            </w:r>
          </w:p>
          <w:p w14:paraId="37E026E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O1-O6</w:t>
            </w:r>
          </w:p>
          <w:p w14:paraId="373D5F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14:paraId="7478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57E3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CONTENTS</w:t>
            </w:r>
          </w:p>
          <w:p w14:paraId="6C5BB7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42DF6C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Lectures </w:t>
            </w:r>
          </w:p>
          <w:p w14:paraId="4181FD8A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role and functions of the agri-food sector in the national economy.  </w:t>
            </w:r>
          </w:p>
          <w:p w14:paraId="32E85FAA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 Basic research methods used in the agri-food sector.  </w:t>
            </w:r>
          </w:p>
          <w:p w14:paraId="17AAD002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3.The specificity of production in the agri-food sector.  </w:t>
            </w:r>
          </w:p>
          <w:p w14:paraId="0EFA88A3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 Main directions of changes in the modern food economy.  </w:t>
            </w:r>
          </w:p>
          <w:p w14:paraId="3C5899A0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4.Trade in agri-food products. </w:t>
            </w:r>
          </w:p>
          <w:p w14:paraId="2E0A62BF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 Supply and demand in the agri-food sector.  </w:t>
            </w:r>
          </w:p>
          <w:p w14:paraId="5F7B0822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 Prices and incomes in the food economy.  </w:t>
            </w:r>
          </w:p>
          <w:p w14:paraId="0DF3FCE3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 Basic data linked with the agri-food sector in the EU and the world. </w:t>
            </w:r>
          </w:p>
          <w:p w14:paraId="03498DBA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19"/>
                <w:rFonts w:ascii="Arial" w:hAnsi="Arial" w:cs="Arial"/>
                <w:lang w:val="en-US"/>
              </w:rPr>
              <w:t> </w:t>
            </w:r>
          </w:p>
          <w:p w14:paraId="37CED470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classes  </w:t>
            </w:r>
          </w:p>
          <w:p w14:paraId="14B8AB8D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 Using of European and global databases to analyze agriculture and food economy: FADN, Eurostat, FAOSTAT, World Bank.  </w:t>
            </w:r>
          </w:p>
          <w:p w14:paraId="43111FE3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 Measures of the competitiveness of the agricultural sector the world.  </w:t>
            </w:r>
          </w:p>
          <w:p w14:paraId="5A5C820E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 Typology of agricultural farms in the EU and in the world.  </w:t>
            </w:r>
          </w:p>
          <w:p w14:paraId="29F630C0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 Technical and economic analysis of a farm.  </w:t>
            </w:r>
          </w:p>
          <w:p w14:paraId="64B9022D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 Resources and inputs of production factors.  </w:t>
            </w:r>
          </w:p>
          <w:p w14:paraId="293E310C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 Production and costs of farms.  </w:t>
            </w:r>
          </w:p>
          <w:p w14:paraId="6B6FFAEB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 Farm efficiency measures.  </w:t>
            </w:r>
          </w:p>
          <w:p w14:paraId="7B43381E">
            <w:pPr>
              <w:pStyle w:val="20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 Income categories in agriculture.  </w:t>
            </w:r>
          </w:p>
          <w:p w14:paraId="2946DB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12DF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5A8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course completion methods and criteria </w:t>
            </w:r>
          </w:p>
          <w:p w14:paraId="6F77A5B5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Practical classes evaluation: </w:t>
            </w:r>
            <w:r>
              <w:rPr>
                <w:rStyle w:val="19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C1CFD40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Active participation in classes</w:t>
            </w:r>
            <w:r>
              <w:rPr>
                <w:rStyle w:val="19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F2C5AB0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Practical assignments and/or written test</w:t>
            </w:r>
            <w:r>
              <w:rPr>
                <w:rStyle w:val="19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997CC1D">
            <w:pPr>
              <w:pStyle w:val="2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Lecture: written exam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68578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Percentage of a final grade</w:t>
            </w:r>
          </w:p>
          <w:p w14:paraId="60888D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  <w:p w14:paraId="13A8229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20%</w:t>
            </w:r>
          </w:p>
          <w:p w14:paraId="0ADBC3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80%</w:t>
            </w:r>
          </w:p>
          <w:p w14:paraId="7437975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</w:tc>
      </w:tr>
      <w:tr w14:paraId="5EA6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739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 REFERENCES</w:t>
            </w:r>
          </w:p>
          <w:p w14:paraId="7F2BE2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Barkley, A., Barkley, P. W. (2016):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Principles of agricultural economics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 Routledge.</w:t>
            </w:r>
          </w:p>
          <w:p w14:paraId="2858C006">
            <w:pPr>
              <w:spacing w:after="17" w:line="260" w:lineRule="auto"/>
              <w:ind w:left="10" w:hanging="1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Barkley A. (2016):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Economics of Food and Agricultural Markets,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NPP eBooks.12. </w:t>
            </w:r>
            <w:r>
              <w:fldChar w:fldCharType="begin"/>
            </w:r>
            <w:r>
              <w:instrText xml:space="preserve"> HYPERLINK "http://newprairiepress.org/ebooks/12" </w:instrText>
            </w:r>
            <w:r>
              <w:fldChar w:fldCharType="separate"/>
            </w:r>
            <w:r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http://newprairiepress.org/ebooks/12</w:t>
            </w:r>
            <w:r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 w14:paraId="27E0AC1F">
            <w:pPr>
              <w:spacing w:after="18" w:line="259" w:lineRule="auto"/>
              <w:ind w:right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Capstick, M. (2019):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The economics of agriculture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 Routledge.</w:t>
            </w:r>
          </w:p>
          <w:p w14:paraId="5B4AE4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Matthews, A. (2021):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Agri-Food Sector. The Economy of Ireland: Policy Making in a Global Context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; Bloomsbury Publishing: London, UK, 276.</w:t>
            </w:r>
          </w:p>
          <w:p w14:paraId="2C9D7932">
            <w:pPr>
              <w:spacing w:after="18" w:line="259" w:lineRule="auto"/>
              <w:ind w:right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Tracy M.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(1996):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Food and agriculture in a market economy. An introduction to theory, practice and policy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 Publ. by Agricultural Policy Studies</w:t>
            </w:r>
          </w:p>
          <w:p w14:paraId="79772792">
            <w:pPr>
              <w:spacing w:after="18" w:line="259" w:lineRule="auto"/>
              <w:ind w:right="60"/>
              <w:jc w:val="both"/>
              <w:rPr>
                <w:rStyle w:val="18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Style w:val="18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Recent scientific papers and reports related to the agri-food sector </w:t>
            </w:r>
            <w:r>
              <w:rPr>
                <w:rStyle w:val="18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(available online in the Web of Science, Scopus and Google Scholar databases)</w:t>
            </w:r>
          </w:p>
          <w:p w14:paraId="110FFD37">
            <w:pPr>
              <w:spacing w:after="18" w:line="259" w:lineRule="auto"/>
              <w:ind w:right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69937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  <w:lang w:val="en-GB"/>
        </w:rPr>
      </w:pPr>
    </w:p>
    <w:p w14:paraId="3FE9F23F">
      <w:pPr>
        <w:rPr>
          <w:rFonts w:ascii="Arial" w:hAnsi="Arial" w:cs="Arial"/>
          <w:sz w:val="18"/>
          <w:szCs w:val="18"/>
          <w:lang w:val="en-GB"/>
        </w:rPr>
      </w:pPr>
    </w:p>
    <w:sectPr>
      <w:endnotePr>
        <w:numFmt w:val="decimal"/>
      </w:endnote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hyphenationZone w:val="425"/>
  <w:drawingGridHorizontalSpacing w:val="120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03"/>
    <w:rsid w:val="00000552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95FA8"/>
    <w:rsid w:val="000C4767"/>
    <w:rsid w:val="000C54CC"/>
    <w:rsid w:val="000E20A8"/>
    <w:rsid w:val="000F2C76"/>
    <w:rsid w:val="0011499C"/>
    <w:rsid w:val="00115218"/>
    <w:rsid w:val="001164D1"/>
    <w:rsid w:val="0013774E"/>
    <w:rsid w:val="0015656F"/>
    <w:rsid w:val="001568DA"/>
    <w:rsid w:val="00167F94"/>
    <w:rsid w:val="001A07B1"/>
    <w:rsid w:val="001B56F7"/>
    <w:rsid w:val="001F4FC0"/>
    <w:rsid w:val="00210531"/>
    <w:rsid w:val="00251EDD"/>
    <w:rsid w:val="0026175B"/>
    <w:rsid w:val="0026678C"/>
    <w:rsid w:val="002A04D6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D361B"/>
    <w:rsid w:val="003E4FC7"/>
    <w:rsid w:val="003F10E5"/>
    <w:rsid w:val="003F6F54"/>
    <w:rsid w:val="0043271A"/>
    <w:rsid w:val="00433E60"/>
    <w:rsid w:val="00440C98"/>
    <w:rsid w:val="004539EE"/>
    <w:rsid w:val="00455BF6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14DB6"/>
    <w:rsid w:val="00564914"/>
    <w:rsid w:val="005728AE"/>
    <w:rsid w:val="00580035"/>
    <w:rsid w:val="005A0B23"/>
    <w:rsid w:val="005B0C4D"/>
    <w:rsid w:val="005B66D8"/>
    <w:rsid w:val="005D177F"/>
    <w:rsid w:val="005D7F41"/>
    <w:rsid w:val="005E16E2"/>
    <w:rsid w:val="006027E3"/>
    <w:rsid w:val="00605578"/>
    <w:rsid w:val="006425B6"/>
    <w:rsid w:val="00647C89"/>
    <w:rsid w:val="00663087"/>
    <w:rsid w:val="006704BB"/>
    <w:rsid w:val="006978CE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56615"/>
    <w:rsid w:val="00771451"/>
    <w:rsid w:val="0077477D"/>
    <w:rsid w:val="007762CA"/>
    <w:rsid w:val="00780B74"/>
    <w:rsid w:val="007817D0"/>
    <w:rsid w:val="00794748"/>
    <w:rsid w:val="00796322"/>
    <w:rsid w:val="007969A4"/>
    <w:rsid w:val="00797880"/>
    <w:rsid w:val="007A58C3"/>
    <w:rsid w:val="007B6664"/>
    <w:rsid w:val="007C1B7D"/>
    <w:rsid w:val="007F3649"/>
    <w:rsid w:val="008061F4"/>
    <w:rsid w:val="00807F8C"/>
    <w:rsid w:val="0081614C"/>
    <w:rsid w:val="00844C83"/>
    <w:rsid w:val="00845AA0"/>
    <w:rsid w:val="008508B7"/>
    <w:rsid w:val="0085416B"/>
    <w:rsid w:val="00854CDF"/>
    <w:rsid w:val="00855107"/>
    <w:rsid w:val="008658AD"/>
    <w:rsid w:val="008847B6"/>
    <w:rsid w:val="008A4359"/>
    <w:rsid w:val="008A56AC"/>
    <w:rsid w:val="008E24F3"/>
    <w:rsid w:val="00901D5C"/>
    <w:rsid w:val="009027F8"/>
    <w:rsid w:val="00910EA5"/>
    <w:rsid w:val="0095678B"/>
    <w:rsid w:val="009640C1"/>
    <w:rsid w:val="009A1BF2"/>
    <w:rsid w:val="009C2111"/>
    <w:rsid w:val="009D5497"/>
    <w:rsid w:val="00A10CE4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04DA"/>
    <w:rsid w:val="00A6492F"/>
    <w:rsid w:val="00A760E1"/>
    <w:rsid w:val="00A96FD5"/>
    <w:rsid w:val="00AB01B2"/>
    <w:rsid w:val="00AB3B75"/>
    <w:rsid w:val="00AB5524"/>
    <w:rsid w:val="00AD136A"/>
    <w:rsid w:val="00AD57E8"/>
    <w:rsid w:val="00AE04D0"/>
    <w:rsid w:val="00B01FC0"/>
    <w:rsid w:val="00B2681F"/>
    <w:rsid w:val="00B45854"/>
    <w:rsid w:val="00B60861"/>
    <w:rsid w:val="00B65551"/>
    <w:rsid w:val="00B76598"/>
    <w:rsid w:val="00B83600"/>
    <w:rsid w:val="00BB3048"/>
    <w:rsid w:val="00BC2E98"/>
    <w:rsid w:val="00BD5875"/>
    <w:rsid w:val="00BE035E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E56CD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219"/>
    <w:rsid w:val="00E36AE3"/>
    <w:rsid w:val="00E65479"/>
    <w:rsid w:val="00E67A05"/>
    <w:rsid w:val="00E71DE8"/>
    <w:rsid w:val="00E768BE"/>
    <w:rsid w:val="00E84DD3"/>
    <w:rsid w:val="00E87F79"/>
    <w:rsid w:val="00E9518C"/>
    <w:rsid w:val="00EB78A0"/>
    <w:rsid w:val="00EB7E1E"/>
    <w:rsid w:val="00EC32D7"/>
    <w:rsid w:val="00EC77C8"/>
    <w:rsid w:val="00EF66C7"/>
    <w:rsid w:val="00F12229"/>
    <w:rsid w:val="00F20DD4"/>
    <w:rsid w:val="00F36351"/>
    <w:rsid w:val="00F3679B"/>
    <w:rsid w:val="00F43091"/>
    <w:rsid w:val="00F7609F"/>
    <w:rsid w:val="00F77DBB"/>
    <w:rsid w:val="00F91488"/>
    <w:rsid w:val="00F91AA6"/>
    <w:rsid w:val="00FA465F"/>
    <w:rsid w:val="3A3D6DC9"/>
    <w:rsid w:val="58029D37"/>
    <w:rsid w:val="5DC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Tahoma" w:hAnsi="Tahoma"/>
      <w:sz w:val="16"/>
      <w:szCs w:val="16"/>
      <w:lang w:val="zh-CN" w:eastAsia="zh-CN"/>
    </w:rPr>
  </w:style>
  <w:style w:type="character" w:styleId="5">
    <w:name w:val="endnote reference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13"/>
    <w:semiHidden/>
    <w:unhideWhenUsed/>
    <w:uiPriority w:val="99"/>
    <w:rPr>
      <w:sz w:val="20"/>
      <w:szCs w:val="20"/>
      <w:lang w:val="zh-CN" w:eastAsia="zh-CN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footnote reference"/>
    <w:semiHidden/>
    <w:unhideWhenUsed/>
    <w:uiPriority w:val="99"/>
    <w:rPr>
      <w:vertAlign w:val="superscript"/>
    </w:rPr>
  </w:style>
  <w:style w:type="paragraph" w:styleId="9">
    <w:name w:val="footnote text"/>
    <w:basedOn w:val="1"/>
    <w:link w:val="12"/>
    <w:semiHidden/>
    <w:unhideWhenUsed/>
    <w:uiPriority w:val="99"/>
    <w:rPr>
      <w:sz w:val="20"/>
      <w:szCs w:val="20"/>
      <w:lang w:val="zh-CN" w:eastAsia="zh-CN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11">
    <w:name w:val="Hyperlink"/>
    <w:basedOn w:val="2"/>
    <w:unhideWhenUsed/>
    <w:qFormat/>
    <w:uiPriority w:val="99"/>
    <w:rPr>
      <w:rFonts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Tekst przypisu dolnego Znak"/>
    <w:link w:val="9"/>
    <w:semiHidden/>
    <w:uiPriority w:val="99"/>
    <w:rPr>
      <w:rFonts w:ascii="Times New Roman" w:hAnsi="Times New Roman" w:eastAsia="Times New Roman"/>
    </w:rPr>
  </w:style>
  <w:style w:type="character" w:customStyle="1" w:styleId="13">
    <w:name w:val="Tekst przypisu końcowego Znak"/>
    <w:link w:val="6"/>
    <w:semiHidden/>
    <w:uiPriority w:val="99"/>
    <w:rPr>
      <w:rFonts w:ascii="Times New Roman" w:hAnsi="Times New Roman" w:eastAsia="Times New Roman"/>
    </w:rPr>
  </w:style>
  <w:style w:type="character" w:customStyle="1" w:styleId="14">
    <w:name w:val="Tekst dymka Znak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character" w:customStyle="1" w:styleId="16">
    <w:name w:val="Nagłówek Znak"/>
    <w:link w:val="10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7">
    <w:name w:val="Stopka Znak"/>
    <w:link w:val="7"/>
    <w:qFormat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8">
    <w:name w:val="normaltextrun"/>
    <w:basedOn w:val="2"/>
    <w:qFormat/>
    <w:uiPriority w:val="0"/>
  </w:style>
  <w:style w:type="character" w:customStyle="1" w:styleId="19">
    <w:name w:val="eop"/>
    <w:basedOn w:val="2"/>
    <w:qFormat/>
    <w:uiPriority w:val="0"/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3722D-3D5E-42C9-B88B-8B061CA45F34}">
  <ds:schemaRefs/>
</ds:datastoreItem>
</file>

<file path=customXml/itemProps2.xml><?xml version="1.0" encoding="utf-8"?>
<ds:datastoreItem xmlns:ds="http://schemas.openxmlformats.org/officeDocument/2006/customXml" ds:itemID="{42C2875C-03D7-4FEA-9CAE-31BA5150E688}">
  <ds:schemaRefs/>
</ds:datastoreItem>
</file>

<file path=customXml/itemProps3.xml><?xml version="1.0" encoding="utf-8"?>
<ds:datastoreItem xmlns:ds="http://schemas.openxmlformats.org/officeDocument/2006/customXml" ds:itemID="{DEAA5B58-B35D-43EE-AD2B-5B5386992D3C}"/>
</file>

<file path=customXml/itemProps4.xml><?xml version="1.0" encoding="utf-8"?>
<ds:datastoreItem xmlns:ds="http://schemas.openxmlformats.org/officeDocument/2006/customXml" ds:itemID="{7352E41E-7183-44FC-BF31-9335BB539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Przezbórska-Skobiej</cp:lastModifiedBy>
  <cp:revision>4</cp:revision>
  <cp:lastPrinted>2017-09-25T10:27:00Z</cp:lastPrinted>
  <dcterms:created xsi:type="dcterms:W3CDTF">2024-06-15T20:48:00Z</dcterms:created>
  <dcterms:modified xsi:type="dcterms:W3CDTF">2025-07-10T13:29:59Z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  <property fmtid="{D5CDD505-2E9C-101B-9397-08002B2CF9AE}" pid="4" name="KSOProductBuildVer">
    <vt:lpwstr>1045-12.2.0.21931</vt:lpwstr>
  </property>
  <property fmtid="{D5CDD505-2E9C-101B-9397-08002B2CF9AE}" pid="5" name="ICV">
    <vt:lpwstr>A3EB73D8F6EB45F38C8B553FE6D2ACA4_13</vt:lpwstr>
  </property>
</Properties>
</file>