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24F4">
      <w:pPr>
        <w:contextualSpacing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>SYLLABUS</w:t>
      </w:r>
    </w:p>
    <w:p w14:paraId="672A6659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3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14:paraId="470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</w:tcPr>
          <w:p w14:paraId="1A9BF93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(as specified in the approved curriculum)</w:t>
            </w:r>
          </w:p>
          <w:p w14:paraId="0A37501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Agricultural and trade policies</w:t>
            </w:r>
          </w:p>
        </w:tc>
        <w:tc>
          <w:tcPr>
            <w:tcW w:w="1510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17B1A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ECTS</w:t>
            </w:r>
          </w:p>
          <w:p w14:paraId="33358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credits</w:t>
            </w:r>
          </w:p>
          <w:p w14:paraId="4567FE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14:paraId="165C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</w:tcBorders>
            <w:shd w:val="clear" w:color="auto" w:fill="auto"/>
          </w:tcPr>
          <w:p w14:paraId="4C2872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in Polish</w:t>
            </w:r>
          </w:p>
          <w:p w14:paraId="5DAB6C7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Polityka rolna i handlowa</w:t>
            </w:r>
          </w:p>
        </w:tc>
        <w:tc>
          <w:tcPr>
            <w:tcW w:w="1510" w:type="dxa"/>
            <w:vMerge w:val="continue"/>
          </w:tcPr>
          <w:p w14:paraId="02EB37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14:paraId="51C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DCD9A6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Unit providing the course (Department/Institute)</w:t>
            </w:r>
          </w:p>
          <w:p w14:paraId="6A05A8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Katedra Ekonomii i Polityki Gospodarczej w Agrobiznesie</w:t>
            </w:r>
          </w:p>
        </w:tc>
      </w:tr>
      <w:tr w14:paraId="3A69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DB7F75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Course co-ordinator</w:t>
            </w:r>
          </w:p>
          <w:p w14:paraId="5A39BBE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Prof. UPP dr hab. Wawrzyniec Czubak (Agricultural policies), prof. UPP dr hab. Karolina Pawlak (Trade policies)</w:t>
            </w:r>
          </w:p>
        </w:tc>
      </w:tr>
      <w:tr w14:paraId="6B3F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09F0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3358EEC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Economics and Finance Management in Agri-food Sector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FFD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7CDB7FDC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bachelor degree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B3D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095E98F2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ABF13B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F471C85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III</w:t>
            </w:r>
          </w:p>
        </w:tc>
      </w:tr>
      <w:tr w14:paraId="31F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0D1FDC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  <w:p w14:paraId="451381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18AD6ED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Thesis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color="auto" w:sz="12" w:space="0"/>
            </w:tcBorders>
            <w:shd w:val="clear" w:color="auto" w:fill="auto"/>
          </w:tcPr>
          <w:p w14:paraId="41C8F39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14:paraId="61E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AD76B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 AND COURSE LOAD</w:t>
            </w:r>
          </w:p>
          <w:p w14:paraId="5DEA35D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(lectures and self-learning of the student)</w:t>
            </w:r>
          </w:p>
        </w:tc>
      </w:tr>
      <w:tr w14:paraId="03F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49D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61EF4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part-time</w:t>
            </w:r>
          </w:p>
        </w:tc>
      </w:tr>
      <w:tr w14:paraId="5810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1D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lectures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A3D3E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425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- lectures 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D0B9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22A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209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7B00A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14B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0061E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A0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1D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contact hours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AFD9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9E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B94D5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804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67A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18"/>
                <w:rFonts w:ascii="Arial" w:hAnsi="Arial" w:cs="Arial"/>
                <w:sz w:val="20"/>
                <w:szCs w:val="20"/>
                <w:lang w:val="en-GB"/>
              </w:rPr>
              <w:t>- self-learning</w:t>
            </w:r>
            <w:r>
              <w:rPr>
                <w:rStyle w:val="19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EC669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D1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3656B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A6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B7D3AC1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B99056E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044344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299C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14:paraId="2F4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AB633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4DDBEF00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aim of the course is to familiarize students with agricultural and trade policy models in the world's greatest agricultural producers and exporters.</w:t>
            </w:r>
          </w:p>
        </w:tc>
      </w:tr>
      <w:tr w14:paraId="495E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B2CF1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3461D7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Interactive lecture; exercises; thematic discussions; case analysis, teamwork, consultations</w:t>
            </w:r>
          </w:p>
        </w:tc>
      </w:tr>
      <w:tr w14:paraId="23F2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F5C51CC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D737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14:paraId="3CD9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FB917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05323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O1 – student knows the key mechanisms and tools of agricultural and trade policies at the national and global level, including those within selected regional economic groupings</w:t>
            </w:r>
          </w:p>
          <w:p w14:paraId="13B5603C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B655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O2 – student knows the main economic theories and mechanisms in the international policy as well as the principles of foreign and international trade policy, with particular emphasis on the agri-food sector</w:t>
            </w:r>
          </w:p>
          <w:p w14:paraId="3CF2D8B6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59AD5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EM1A_W02</w:t>
            </w:r>
          </w:p>
          <w:p w14:paraId="2A247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EM1A_W05</w:t>
            </w:r>
          </w:p>
          <w:p w14:paraId="52ED2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78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EM1A_W04</w:t>
            </w:r>
          </w:p>
        </w:tc>
      </w:tr>
      <w:tr w14:paraId="12E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B35B5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8F629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O3 – student is able to identify and interpret main economic phenomena and processes, as well as indicators characterizing agricultural and trade policies </w:t>
            </w:r>
          </w:p>
          <w:p w14:paraId="48DAE1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D016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O4 – student is able to use tools to identify and analyse economic policy towards the agri-food sector</w:t>
            </w:r>
          </w:p>
          <w:p w14:paraId="0CBD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7E9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O5 – student is able to use tools to identify and analyse foreign and international trade policies, interpret the obtained results and assess the socio-economic impacts of these policies, with a specific focus on the agri-food sector</w:t>
            </w:r>
          </w:p>
          <w:p w14:paraId="1FC39945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D6B04F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562CB0E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3CB38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EM1A_U01</w:t>
            </w:r>
          </w:p>
          <w:p w14:paraId="04ED0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EM1A_U04</w:t>
            </w:r>
          </w:p>
          <w:p w14:paraId="4E322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5C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EM1A_U02</w:t>
            </w:r>
          </w:p>
          <w:p w14:paraId="4D8C5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478F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2E2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EM1A_U03</w:t>
            </w:r>
          </w:p>
          <w:p w14:paraId="34CE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EM1A_U04</w:t>
            </w:r>
          </w:p>
        </w:tc>
      </w:tr>
      <w:tr w14:paraId="6C7A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exact"/>
          <w:jc w:val="center"/>
        </w:trPr>
        <w:tc>
          <w:tcPr>
            <w:tcW w:w="66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extDirection w:val="btLr"/>
            <w:vAlign w:val="center"/>
          </w:tcPr>
          <w:p w14:paraId="353DC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34B7AE9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color="auto" w:sz="12" w:space="0"/>
            </w:tcBorders>
            <w:shd w:val="clear" w:color="auto" w:fill="auto"/>
          </w:tcPr>
          <w:p w14:paraId="49807F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O6 – student is ready to organize and initiate activities for the agricultural and trade policy  </w:t>
            </w:r>
          </w:p>
          <w:p w14:paraId="61B69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0232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O7 – student is ready to continuously develop the acquired knowledge in order to improve professional competences</w:t>
            </w:r>
          </w:p>
          <w:p w14:paraId="4B3F4E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74A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08 – recognize the importance of knowledge in solving cognitive and practical problems and seek expert opinions, including formulating statements and assessments and collaborating in a team to address a particular problem</w:t>
            </w:r>
          </w:p>
          <w:p w14:paraId="4DC3B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54C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EM1A_K01</w:t>
            </w:r>
          </w:p>
          <w:p w14:paraId="28B79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F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EM1A_K04</w:t>
            </w:r>
          </w:p>
          <w:p w14:paraId="2FA1C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9C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BF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EM1A_K05</w:t>
            </w:r>
          </w:p>
        </w:tc>
      </w:tr>
      <w:tr w14:paraId="4E10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76392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168445604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of evaluation of learning outcomes </w:t>
            </w:r>
          </w:p>
          <w:bookmarkEnd w:id="1"/>
          <w:p w14:paraId="75C69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11C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Practical assignments and case studies (individual or team work) </w:t>
            </w:r>
          </w:p>
          <w:p w14:paraId="56C0E5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Active participation and discussions in classes</w:t>
            </w:r>
          </w:p>
          <w:p w14:paraId="6D98A1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Written exam / written test</w:t>
            </w: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96DEFB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60BA002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O6, O7, O8</w:t>
            </w:r>
          </w:p>
          <w:p w14:paraId="73EEF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O3, O4, O5</w:t>
            </w:r>
          </w:p>
          <w:p w14:paraId="373D5F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O1-O5</w:t>
            </w:r>
          </w:p>
        </w:tc>
      </w:tr>
      <w:tr w14:paraId="7478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57E3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CONTENTS</w:t>
            </w:r>
          </w:p>
          <w:p w14:paraId="6E3446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Agricultural policies</w:t>
            </w:r>
          </w:p>
          <w:p w14:paraId="41295BB3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Common Agricultural Policy of the EU - pillars, goals, principles, evolution, reforms, tools of the CAP</w:t>
            </w:r>
          </w:p>
          <w:p w14:paraId="5B83D611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Operation programs of the Common Agricultural Policy for the years 2023-2027</w:t>
            </w:r>
          </w:p>
          <w:p w14:paraId="2F5F0755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Proposals for a support policy after 2027</w:t>
            </w:r>
          </w:p>
          <w:p w14:paraId="6BA920F7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Financing the CAP, the EU's agricultural budget; EU budget and CAP for 2023-2027;</w:t>
            </w:r>
          </w:p>
          <w:p w14:paraId="2D0CBB70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EU structural funds in the development of agriculture and rural areas</w:t>
            </w:r>
          </w:p>
          <w:p w14:paraId="5C7F822A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Direct payments system</w:t>
            </w:r>
          </w:p>
          <w:p w14:paraId="72C89B77">
            <w:pPr>
              <w:pStyle w:val="20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European Green Deal</w:t>
            </w:r>
          </w:p>
          <w:p w14:paraId="68960F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EE92F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Trade policies</w:t>
            </w:r>
          </w:p>
          <w:p w14:paraId="23703620">
            <w:pPr>
              <w:pStyle w:val="20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Development of the World Trade Organization policy</w:t>
            </w:r>
          </w:p>
          <w:p w14:paraId="22D9250C">
            <w:pPr>
              <w:pStyle w:val="20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Proliferation of preferential trade agreements</w:t>
            </w:r>
          </w:p>
          <w:p w14:paraId="7F6EF268">
            <w:pPr>
              <w:pStyle w:val="20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Strategies and tools of international trade policy</w:t>
            </w:r>
          </w:p>
          <w:p w14:paraId="0C776B9E">
            <w:pPr>
              <w:pStyle w:val="20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Examples of trade policies worldwide (with special emphasis on agri-food sector)</w:t>
            </w:r>
          </w:p>
          <w:p w14:paraId="2946DB82">
            <w:pPr>
              <w:pStyle w:val="20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Agricultural trade policies of the USA, EU, Latin American and Caribbean Countries, Asia and the Pacific, African economies: strategies and effects (case studies)</w:t>
            </w:r>
          </w:p>
        </w:tc>
      </w:tr>
      <w:tr w14:paraId="12DF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5A8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course completion methods and criteria </w:t>
            </w:r>
          </w:p>
          <w:p w14:paraId="12543850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Practical classes evaluation: </w:t>
            </w:r>
          </w:p>
          <w:p w14:paraId="69FA1E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Active participation in classes</w:t>
            </w:r>
          </w:p>
          <w:p w14:paraId="5DBFA8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assignments and/or written test</w:t>
            </w:r>
          </w:p>
          <w:p w14:paraId="5997CC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Lecture: written exam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50901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Percentage of a final grade</w:t>
            </w:r>
          </w:p>
          <w:p w14:paraId="18B424C3">
            <w:pPr>
              <w:ind w:right="37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  <w:p w14:paraId="51F309FB">
            <w:pPr>
              <w:ind w:right="37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20%</w:t>
            </w:r>
          </w:p>
          <w:p w14:paraId="73D2C469">
            <w:pPr>
              <w:ind w:right="37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80%</w:t>
            </w:r>
          </w:p>
          <w:p w14:paraId="7437975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</w:tc>
      </w:tr>
      <w:tr w14:paraId="5EA6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B739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 REFERENCES</w:t>
            </w:r>
          </w:p>
          <w:p w14:paraId="70EE9605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Agriculture and food economy in Poland 2022, Ministry of Agriculture and Rural Development, Warsaw 2023.</w:t>
            </w:r>
          </w:p>
          <w:p w14:paraId="0BFE2BBD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Bagwell K., Staiger R.W. (2002):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The Economics of the World Trading System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The MIT Press.</w:t>
            </w:r>
          </w:p>
          <w:p w14:paraId="30E0B71F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OECD (2017): Evaluation of Agricultural Policy Reforms in the European Union The Common Agricultural Policy 2014-2020. OECD Publishing, Paris. DOI 10.1787/9789264112124-en.</w:t>
            </w:r>
          </w:p>
          <w:p w14:paraId="5641521D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Grimwade N. (1996):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International trade policy: A contemporary analysis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Routledge, London, New York.</w:t>
            </w:r>
          </w:p>
          <w:p w14:paraId="22F7FDF3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OECD (2015):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Regional trade agreements and agriculture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OECD Food, Agriculture and Fisheries Papers No. 79. OECD Publishing, Paris. DOI 10.1787/5js4kg5xjvvf-en.</w:t>
            </w:r>
          </w:p>
          <w:p w14:paraId="1ED61DD5">
            <w:pPr>
              <w:pStyle w:val="5"/>
              <w:numPr>
                <w:ilvl w:val="0"/>
                <w:numId w:val="3"/>
              </w:numPr>
              <w:spacing w:line="240" w:lineRule="auto"/>
              <w:ind w:left="306" w:hanging="28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Reed M. R. (2001):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International Trade in Agricultural Products</w:t>
            </w:r>
            <w:r>
              <w:rPr>
                <w:rFonts w:ascii="Arial" w:hAnsi="Arial" w:cs="Arial"/>
                <w:sz w:val="20"/>
                <w:lang w:val="en-US"/>
              </w:rPr>
              <w:t xml:space="preserve">. Prentice Hall, Upper Saddle River, New Jersey. </w:t>
            </w:r>
          </w:p>
          <w:p w14:paraId="174343F5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Rural Development Programme 2007-2013, 2014-2020, 2023-2027 (including ex-ante report).</w:t>
            </w:r>
          </w:p>
          <w:p w14:paraId="0A92BDBD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Thompson-Lipponen C., Greenville J. (2019):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The Evolution of the Treatment of Agriculture in Preferential Trade Agreements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 OECD Food, Agriculture and Fisheries Papers No. 126. OECD Publishing, Paris. DOI 10.1787/751d274f-en.</w:t>
            </w:r>
          </w:p>
          <w:p w14:paraId="3A85A3D3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Tracy M. (1996): Agricultural Policy in the European Union: And Other Market Economies. APS Agricultural Policy Studies.</w:t>
            </w:r>
          </w:p>
          <w:p w14:paraId="110FFD37">
            <w:pPr>
              <w:numPr>
                <w:ilvl w:val="0"/>
                <w:numId w:val="3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Recent scientific papers and reports related to the developments and prospects of agricultural and trade policies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(available online in the Web of Science, Scopus and Google Scholar databases).</w:t>
            </w:r>
          </w:p>
        </w:tc>
      </w:tr>
    </w:tbl>
    <w:p w14:paraId="6B69937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  <w:lang w:val="en-GB"/>
        </w:rPr>
      </w:pPr>
    </w:p>
    <w:p w14:paraId="235C524C">
      <w:pPr>
        <w:rPr>
          <w:rFonts w:ascii="Arial" w:hAnsi="Arial" w:cs="Arial"/>
          <w:b/>
          <w:i/>
          <w:color w:val="FF0000"/>
          <w:sz w:val="28"/>
          <w:szCs w:val="22"/>
        </w:rPr>
      </w:pPr>
    </w:p>
    <w:sectPr>
      <w:endnotePr>
        <w:numFmt w:val="decimal"/>
      </w:endnote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25230"/>
    <w:multiLevelType w:val="multilevel"/>
    <w:tmpl w:val="0E32523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9410B"/>
    <w:multiLevelType w:val="multilevel"/>
    <w:tmpl w:val="3C29410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14ED8"/>
    <w:multiLevelType w:val="multilevel"/>
    <w:tmpl w:val="5B214ED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08"/>
  <w:hyphenationZone w:val="425"/>
  <w:drawingGridHorizontalSpacing w:val="120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03"/>
    <w:rsid w:val="00000552"/>
    <w:rsid w:val="000012DD"/>
    <w:rsid w:val="00001D53"/>
    <w:rsid w:val="0002545E"/>
    <w:rsid w:val="0003666C"/>
    <w:rsid w:val="00044C26"/>
    <w:rsid w:val="000527FB"/>
    <w:rsid w:val="0005348D"/>
    <w:rsid w:val="0006440C"/>
    <w:rsid w:val="00070F67"/>
    <w:rsid w:val="00072224"/>
    <w:rsid w:val="00092592"/>
    <w:rsid w:val="00092920"/>
    <w:rsid w:val="00095FA8"/>
    <w:rsid w:val="000B376D"/>
    <w:rsid w:val="000C4767"/>
    <w:rsid w:val="000C54CC"/>
    <w:rsid w:val="000E20A8"/>
    <w:rsid w:val="000F2C76"/>
    <w:rsid w:val="00103ADC"/>
    <w:rsid w:val="0011499C"/>
    <w:rsid w:val="00115218"/>
    <w:rsid w:val="001164D1"/>
    <w:rsid w:val="0013774E"/>
    <w:rsid w:val="0015656F"/>
    <w:rsid w:val="001568DA"/>
    <w:rsid w:val="00167F94"/>
    <w:rsid w:val="001A07B1"/>
    <w:rsid w:val="001A693B"/>
    <w:rsid w:val="001B56F7"/>
    <w:rsid w:val="001C4858"/>
    <w:rsid w:val="001E6837"/>
    <w:rsid w:val="001F4FC0"/>
    <w:rsid w:val="00210531"/>
    <w:rsid w:val="00251EDD"/>
    <w:rsid w:val="0026175B"/>
    <w:rsid w:val="0026678C"/>
    <w:rsid w:val="002B4D39"/>
    <w:rsid w:val="002D6E18"/>
    <w:rsid w:val="002F335C"/>
    <w:rsid w:val="00306951"/>
    <w:rsid w:val="00322B2F"/>
    <w:rsid w:val="00344CCF"/>
    <w:rsid w:val="0036752B"/>
    <w:rsid w:val="00375C93"/>
    <w:rsid w:val="00384A26"/>
    <w:rsid w:val="003862DD"/>
    <w:rsid w:val="00386863"/>
    <w:rsid w:val="003D361B"/>
    <w:rsid w:val="003E4FC7"/>
    <w:rsid w:val="003F10E5"/>
    <w:rsid w:val="003F6F54"/>
    <w:rsid w:val="0043271A"/>
    <w:rsid w:val="00433E60"/>
    <w:rsid w:val="00440C98"/>
    <w:rsid w:val="004539EE"/>
    <w:rsid w:val="00455BF6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64914"/>
    <w:rsid w:val="005728AE"/>
    <w:rsid w:val="005A0B23"/>
    <w:rsid w:val="005B0C4D"/>
    <w:rsid w:val="005B66D8"/>
    <w:rsid w:val="005D177F"/>
    <w:rsid w:val="005D7F41"/>
    <w:rsid w:val="005E16E2"/>
    <w:rsid w:val="006027E3"/>
    <w:rsid w:val="00605578"/>
    <w:rsid w:val="00613D0C"/>
    <w:rsid w:val="006425B6"/>
    <w:rsid w:val="00647C89"/>
    <w:rsid w:val="00663087"/>
    <w:rsid w:val="006704BB"/>
    <w:rsid w:val="006978CE"/>
    <w:rsid w:val="006A1906"/>
    <w:rsid w:val="006B4F09"/>
    <w:rsid w:val="006F068E"/>
    <w:rsid w:val="00711BE8"/>
    <w:rsid w:val="0071621E"/>
    <w:rsid w:val="00721D7F"/>
    <w:rsid w:val="00731F0F"/>
    <w:rsid w:val="00740E59"/>
    <w:rsid w:val="00743336"/>
    <w:rsid w:val="0074450D"/>
    <w:rsid w:val="00771451"/>
    <w:rsid w:val="0077477D"/>
    <w:rsid w:val="007762CA"/>
    <w:rsid w:val="00780B74"/>
    <w:rsid w:val="007817D0"/>
    <w:rsid w:val="00796322"/>
    <w:rsid w:val="00797880"/>
    <w:rsid w:val="007A58C3"/>
    <w:rsid w:val="007B6664"/>
    <w:rsid w:val="007C1B7D"/>
    <w:rsid w:val="008061F4"/>
    <w:rsid w:val="00807F8C"/>
    <w:rsid w:val="00815A23"/>
    <w:rsid w:val="0081614C"/>
    <w:rsid w:val="00844C83"/>
    <w:rsid w:val="00845AA0"/>
    <w:rsid w:val="008508B7"/>
    <w:rsid w:val="0085416B"/>
    <w:rsid w:val="00854CDF"/>
    <w:rsid w:val="00855107"/>
    <w:rsid w:val="008658AD"/>
    <w:rsid w:val="008847B6"/>
    <w:rsid w:val="008A4359"/>
    <w:rsid w:val="008A56AC"/>
    <w:rsid w:val="008B2343"/>
    <w:rsid w:val="008E24F3"/>
    <w:rsid w:val="008F5E08"/>
    <w:rsid w:val="00901D5C"/>
    <w:rsid w:val="009027F8"/>
    <w:rsid w:val="00910EA5"/>
    <w:rsid w:val="00931AB9"/>
    <w:rsid w:val="0095678B"/>
    <w:rsid w:val="009640C1"/>
    <w:rsid w:val="009A1BF2"/>
    <w:rsid w:val="009C2111"/>
    <w:rsid w:val="00A10CE4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662C1"/>
    <w:rsid w:val="00A74300"/>
    <w:rsid w:val="00A760E1"/>
    <w:rsid w:val="00A96FD5"/>
    <w:rsid w:val="00AB01B2"/>
    <w:rsid w:val="00AB3B75"/>
    <w:rsid w:val="00AB5524"/>
    <w:rsid w:val="00AC749C"/>
    <w:rsid w:val="00AD136A"/>
    <w:rsid w:val="00AD57E8"/>
    <w:rsid w:val="00AE04D0"/>
    <w:rsid w:val="00B01FC0"/>
    <w:rsid w:val="00B2681F"/>
    <w:rsid w:val="00B45854"/>
    <w:rsid w:val="00B60861"/>
    <w:rsid w:val="00B65551"/>
    <w:rsid w:val="00B70530"/>
    <w:rsid w:val="00B76598"/>
    <w:rsid w:val="00B83600"/>
    <w:rsid w:val="00BB1150"/>
    <w:rsid w:val="00BB3048"/>
    <w:rsid w:val="00BC2E98"/>
    <w:rsid w:val="00BD5875"/>
    <w:rsid w:val="00BE0DAD"/>
    <w:rsid w:val="00BE361C"/>
    <w:rsid w:val="00C26E3F"/>
    <w:rsid w:val="00C41633"/>
    <w:rsid w:val="00C51180"/>
    <w:rsid w:val="00C629F8"/>
    <w:rsid w:val="00C74E2D"/>
    <w:rsid w:val="00C76319"/>
    <w:rsid w:val="00C8646F"/>
    <w:rsid w:val="00CA0C6C"/>
    <w:rsid w:val="00CA5680"/>
    <w:rsid w:val="00CB46FB"/>
    <w:rsid w:val="00CC2108"/>
    <w:rsid w:val="00CC2FA5"/>
    <w:rsid w:val="00CD56E6"/>
    <w:rsid w:val="00CD601E"/>
    <w:rsid w:val="00CD7237"/>
    <w:rsid w:val="00CE090A"/>
    <w:rsid w:val="00CE56CD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D58A2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518C"/>
    <w:rsid w:val="00EB78A0"/>
    <w:rsid w:val="00EB7E1E"/>
    <w:rsid w:val="00EC32D7"/>
    <w:rsid w:val="00EC77C8"/>
    <w:rsid w:val="00EF66C7"/>
    <w:rsid w:val="00F12229"/>
    <w:rsid w:val="00F20DD4"/>
    <w:rsid w:val="00F3679B"/>
    <w:rsid w:val="00F43091"/>
    <w:rsid w:val="00F7609F"/>
    <w:rsid w:val="00F77DBB"/>
    <w:rsid w:val="00F8443E"/>
    <w:rsid w:val="00F91488"/>
    <w:rsid w:val="00F91AA6"/>
    <w:rsid w:val="00FA465F"/>
    <w:rsid w:val="410305A6"/>
    <w:rsid w:val="5DCA2A2B"/>
    <w:rsid w:val="781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rFonts w:ascii="Tahoma" w:hAnsi="Tahoma"/>
      <w:sz w:val="16"/>
      <w:szCs w:val="16"/>
      <w:lang w:val="zh-CN" w:eastAsia="zh-CN"/>
    </w:rPr>
  </w:style>
  <w:style w:type="paragraph" w:styleId="5">
    <w:name w:val="Body Text Indent"/>
    <w:basedOn w:val="1"/>
    <w:link w:val="21"/>
    <w:uiPriority w:val="0"/>
    <w:pPr>
      <w:spacing w:line="360" w:lineRule="auto"/>
      <w:ind w:firstLine="567"/>
      <w:jc w:val="both"/>
    </w:pPr>
    <w:rPr>
      <w:szCs w:val="20"/>
    </w:rPr>
  </w:style>
  <w:style w:type="character" w:styleId="6">
    <w:name w:val="endnote reference"/>
    <w:semiHidden/>
    <w:unhideWhenUsed/>
    <w:uiPriority w:val="99"/>
    <w:rPr>
      <w:vertAlign w:val="superscript"/>
    </w:rPr>
  </w:style>
  <w:style w:type="paragraph" w:styleId="7">
    <w:name w:val="endnote text"/>
    <w:basedOn w:val="1"/>
    <w:link w:val="13"/>
    <w:semiHidden/>
    <w:unhideWhenUsed/>
    <w:qFormat/>
    <w:uiPriority w:val="99"/>
    <w:rPr>
      <w:sz w:val="20"/>
      <w:szCs w:val="20"/>
      <w:lang w:val="zh-CN" w:eastAsia="zh-CN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footnote reference"/>
    <w:semiHidden/>
    <w:unhideWhenUsed/>
    <w:uiPriority w:val="99"/>
    <w:rPr>
      <w:vertAlign w:val="superscript"/>
    </w:rPr>
  </w:style>
  <w:style w:type="paragraph" w:styleId="10">
    <w:name w:val="footnote text"/>
    <w:basedOn w:val="1"/>
    <w:link w:val="12"/>
    <w:semiHidden/>
    <w:unhideWhenUsed/>
    <w:qFormat/>
    <w:uiPriority w:val="99"/>
    <w:rPr>
      <w:sz w:val="20"/>
      <w:szCs w:val="20"/>
      <w:lang w:val="zh-CN" w:eastAsia="zh-CN"/>
    </w:rPr>
  </w:style>
  <w:style w:type="paragraph" w:styleId="11">
    <w:name w:val="head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character" w:customStyle="1" w:styleId="12">
    <w:name w:val="Tekst przypisu dolnego Znak"/>
    <w:link w:val="10"/>
    <w:semiHidden/>
    <w:uiPriority w:val="99"/>
    <w:rPr>
      <w:rFonts w:ascii="Times New Roman" w:hAnsi="Times New Roman" w:eastAsia="Times New Roman"/>
    </w:rPr>
  </w:style>
  <w:style w:type="character" w:customStyle="1" w:styleId="13">
    <w:name w:val="Tekst przypisu końcowego Znak"/>
    <w:link w:val="7"/>
    <w:semiHidden/>
    <w:uiPriority w:val="99"/>
    <w:rPr>
      <w:rFonts w:ascii="Times New Roman" w:hAnsi="Times New Roman" w:eastAsia="Times New Roman"/>
    </w:rPr>
  </w:style>
  <w:style w:type="character" w:customStyle="1" w:styleId="14">
    <w:name w:val="Tekst dymka Znak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character" w:customStyle="1" w:styleId="16">
    <w:name w:val="Nagłówek Znak"/>
    <w:link w:val="11"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7">
    <w:name w:val="Stopka Znak"/>
    <w:link w:val="8"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8">
    <w:name w:val="normaltextrun"/>
    <w:basedOn w:val="2"/>
    <w:qFormat/>
    <w:uiPriority w:val="0"/>
  </w:style>
  <w:style w:type="character" w:customStyle="1" w:styleId="19">
    <w:name w:val="eop"/>
    <w:basedOn w:val="2"/>
    <w:qFormat/>
    <w:uiPriority w:val="0"/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kst podstawowy wcięty Znak"/>
    <w:basedOn w:val="2"/>
    <w:link w:val="5"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5a3f0b9ea701dc4b430903aff7feb887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9ec2a3edc30cd7205582c7c290d8cc72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97961-7B8A-47B3-9E99-273AE0A2A643}">
  <ds:schemaRefs/>
</ds:datastoreItem>
</file>

<file path=customXml/itemProps2.xml><?xml version="1.0" encoding="utf-8"?>
<ds:datastoreItem xmlns:ds="http://schemas.openxmlformats.org/officeDocument/2006/customXml" ds:itemID="{7A7446D0-1B4F-4978-B2C6-46ECAD9AB17E}"/>
</file>

<file path=customXml/itemProps3.xml><?xml version="1.0" encoding="utf-8"?>
<ds:datastoreItem xmlns:ds="http://schemas.openxmlformats.org/officeDocument/2006/customXml" ds:itemID="{42C2875C-03D7-4FEA-9CAE-31BA5150E688}">
  <ds:schemaRefs/>
</ds:datastoreItem>
</file>

<file path=customXml/itemProps4.xml><?xml version="1.0" encoding="utf-8"?>
<ds:datastoreItem xmlns:ds="http://schemas.openxmlformats.org/officeDocument/2006/customXml" ds:itemID="{7352E41E-7183-44FC-BF31-9335BB539D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Przezbórska-Skobiej</cp:lastModifiedBy>
  <cp:revision>19</cp:revision>
  <cp:lastPrinted>2017-09-25T10:27:00Z</cp:lastPrinted>
  <dcterms:created xsi:type="dcterms:W3CDTF">2024-06-11T15:00:00Z</dcterms:created>
  <dcterms:modified xsi:type="dcterms:W3CDTF">2025-07-10T13:27:16Z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c3806bcc43c21f712e07d6a971254102acbceab08cd369318c79d7b2e8de7008</vt:lpwstr>
  </property>
  <property fmtid="{D5CDD505-2E9C-101B-9397-08002B2CF9AE}" pid="3" name="ContentTypeId">
    <vt:lpwstr>0x01010015B2F226791E2146B98A8374C23E66EF</vt:lpwstr>
  </property>
  <property fmtid="{D5CDD505-2E9C-101B-9397-08002B2CF9AE}" pid="4" name="KSOProductBuildVer">
    <vt:lpwstr>1045-12.2.0.21931</vt:lpwstr>
  </property>
  <property fmtid="{D5CDD505-2E9C-101B-9397-08002B2CF9AE}" pid="5" name="ICV">
    <vt:lpwstr>08CD5B14E6DB42B3847ECA8C669C6BAB_13</vt:lpwstr>
  </property>
</Properties>
</file>